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7"/>
        <w:ind w:left="851" w:right="0" w:firstLine="0"/>
        <w:jc w:val="left"/>
        <w:rPr>
          <w:b/>
          <w:sz w:val="40"/>
        </w:rPr>
      </w:pPr>
      <w:r>
        <w:rPr>
          <w:b/>
          <w:sz w:val="40"/>
        </w:rPr>
        <w:t>Free Employee Expense Policy Template</w:t>
      </w:r>
    </w:p>
    <w:p>
      <w:pPr>
        <w:pStyle w:val="BodyText"/>
        <w:rPr>
          <w:b/>
          <w:i w:val="0"/>
          <w:sz w:val="44"/>
        </w:rPr>
      </w:pPr>
    </w:p>
    <w:p>
      <w:pPr>
        <w:pStyle w:val="BodyText"/>
        <w:rPr>
          <w:b/>
          <w:i w:val="0"/>
          <w:sz w:val="42"/>
        </w:rPr>
      </w:pPr>
    </w:p>
    <w:p>
      <w:pPr>
        <w:pStyle w:val="BodyText"/>
        <w:spacing w:line="288" w:lineRule="auto"/>
        <w:ind w:left="120" w:firstLine="2044"/>
      </w:pPr>
      <w:r>
        <w:rPr/>
        <w:pict>
          <v:shapetype id="_x0000_t202" o:spt="202" coordsize="21600,21600" path="m,l,21600r21600,l21600,xe">
            <v:stroke joinstyle="miter"/>
            <v:path gradientshapeok="t" o:connecttype="rect"/>
          </v:shapetype>
          <v:shape style="position:absolute;margin-left:73.099998pt;margin-top:-2.506165pt;width:98.6pt;height:19pt;mso-position-horizontal-relative:page;mso-position-vertical-relative:paragraph;z-index:-3160" type="#_x0000_t202" filled="false" stroked="true" strokeweight="1pt" strokecolor="#aaacb3">
            <v:textbox inset="0,0,0,0">
              <w:txbxContent>
                <w:p>
                  <w:pPr>
                    <w:pStyle w:val="BodyText"/>
                    <w:spacing w:before="29"/>
                    <w:ind w:left="10"/>
                    <w:rPr>
                      <w:i/>
                    </w:rPr>
                  </w:pPr>
                  <w:r>
                    <w:rPr>
                      <w:i/>
                      <w:color w:val="3F3F3F"/>
                    </w:rPr>
                    <w:t>[ABC Company]</w:t>
                  </w:r>
                </w:p>
              </w:txbxContent>
            </v:textbox>
            <v:stroke dashstyle="solid"/>
            <w10:wrap type="none"/>
          </v:shape>
        </w:pict>
      </w:r>
      <w:r>
        <w:rPr>
          <w:i/>
          <w:color w:val="3F3F3F"/>
        </w:rPr>
        <w:t>reimburses employees for necessary expenditures and </w:t>
      </w:r>
      <w:r>
        <w:rPr>
          <w:color w:val="3F3F3F"/>
        </w:rPr>
        <w:t>reasonable costs incurred in the course of doing their jobs. Expenses incurred by</w:t>
      </w:r>
    </w:p>
    <w:p>
      <w:pPr>
        <w:pStyle w:val="BodyText"/>
        <w:spacing w:before="2"/>
        <w:ind w:left="120"/>
        <w:rPr>
          <w:i/>
        </w:rPr>
      </w:pPr>
      <w:r>
        <w:rPr/>
        <w:pict>
          <v:rect style="position:absolute;margin-left:341.899994pt;margin-top:-2.081152pt;width:92.000031pt;height:19pt;mso-position-horizontal-relative:page;mso-position-vertical-relative:paragraph;z-index:-3208" filled="false" stroked="true" strokeweight="1pt" strokecolor="#aaacb3">
            <v:stroke dashstyle="solid"/>
            <w10:wrap type="none"/>
          </v:rect>
        </w:pict>
      </w:r>
      <w:r>
        <w:rPr>
          <w:i/>
          <w:color w:val="3F3F3F"/>
        </w:rPr>
        <w:t>an employee must be approved in advance by [your manager] .</w:t>
      </w:r>
    </w:p>
    <w:p>
      <w:pPr>
        <w:pStyle w:val="BodyText"/>
        <w:rPr>
          <w:i/>
          <w:sz w:val="20"/>
        </w:rPr>
      </w:pPr>
    </w:p>
    <w:p>
      <w:pPr>
        <w:pStyle w:val="BodyText"/>
        <w:spacing w:line="288" w:lineRule="auto" w:before="236"/>
        <w:ind w:left="119" w:right="85"/>
      </w:pPr>
      <w:r>
        <w:rPr>
          <w:i/>
          <w:color w:val="3F3F3F"/>
        </w:rPr>
        <w:t>Some expenses that may warrant reimbursement include but are not limited to </w:t>
      </w:r>
      <w:r>
        <w:rPr>
          <w:color w:val="3F3F3F"/>
        </w:rPr>
        <w:t>the following: mileage costs, air or ground transportation costs, lodging, meals for the purpose of carrying out company business, and any other reimbursable expenses as required by law. Employees are expected to make a reasonable effort to limit business expenses.</w:t>
      </w:r>
    </w:p>
    <w:p>
      <w:pPr>
        <w:pStyle w:val="BodyText"/>
        <w:spacing w:before="9"/>
        <w:rPr>
          <w:i/>
          <w:sz w:val="35"/>
        </w:rPr>
      </w:pPr>
    </w:p>
    <w:p>
      <w:pPr>
        <w:pStyle w:val="BodyText"/>
        <w:ind w:left="120"/>
        <w:rPr>
          <w:i/>
        </w:rPr>
      </w:pPr>
      <w:r>
        <w:rPr>
          <w:i/>
          <w:color w:val="3F3F3F"/>
        </w:rPr>
        <w:t>To be reimbursed:</w:t>
      </w:r>
    </w:p>
    <w:p>
      <w:pPr>
        <w:pStyle w:val="BodyText"/>
        <w:spacing w:before="4"/>
        <w:rPr>
          <w:i/>
          <w:sz w:val="40"/>
        </w:rPr>
      </w:pPr>
    </w:p>
    <w:p>
      <w:pPr>
        <w:pStyle w:val="ListParagraph"/>
        <w:numPr>
          <w:ilvl w:val="0"/>
          <w:numId w:val="1"/>
        </w:numPr>
        <w:tabs>
          <w:tab w:pos="839" w:val="left" w:leader="none"/>
          <w:tab w:pos="840" w:val="left" w:leader="none"/>
        </w:tabs>
        <w:spacing w:line="240" w:lineRule="auto" w:before="0" w:after="0"/>
        <w:ind w:left="840" w:right="0" w:hanging="360"/>
        <w:jc w:val="left"/>
        <w:rPr>
          <w:i/>
          <w:sz w:val="26"/>
        </w:rPr>
      </w:pPr>
      <w:r>
        <w:rPr/>
        <w:pict>
          <v:rect style="position:absolute;margin-left:360.5pt;margin-top:-1.874909pt;width:92.600037pt;height:19.777527pt;mso-position-horizontal-relative:page;mso-position-vertical-relative:paragraph;z-index:-3232" filled="false" stroked="true" strokeweight="1pt" strokecolor="#aaacb3">
            <v:stroke dashstyle="solid"/>
            <w10:wrap type="none"/>
          </v:rect>
        </w:pict>
      </w:r>
      <w:r>
        <w:rPr>
          <w:i/>
          <w:color w:val="3F3F3F"/>
          <w:position w:val="1"/>
          <w:sz w:val="26"/>
        </w:rPr>
        <w:t>Expenses must be approved in advance by </w:t>
      </w:r>
      <w:r>
        <w:rPr>
          <w:i/>
          <w:color w:val="3F3F3F"/>
          <w:spacing w:val="2"/>
          <w:sz w:val="26"/>
        </w:rPr>
        <w:t>[your </w:t>
      </w:r>
      <w:r>
        <w:rPr>
          <w:i/>
          <w:color w:val="3F3F3F"/>
          <w:spacing w:val="4"/>
          <w:sz w:val="26"/>
        </w:rPr>
        <w:t>manager]</w:t>
      </w:r>
      <w:r>
        <w:rPr>
          <w:i/>
          <w:color w:val="3F3F3F"/>
          <w:spacing w:val="-32"/>
          <w:sz w:val="26"/>
        </w:rPr>
        <w:t> </w:t>
      </w:r>
      <w:r>
        <w:rPr>
          <w:i/>
          <w:color w:val="3F3F3F"/>
          <w:position w:val="1"/>
          <w:sz w:val="26"/>
        </w:rPr>
        <w:t>.</w:t>
      </w:r>
    </w:p>
    <w:p>
      <w:pPr>
        <w:pStyle w:val="ListParagraph"/>
        <w:numPr>
          <w:ilvl w:val="0"/>
          <w:numId w:val="1"/>
        </w:numPr>
        <w:tabs>
          <w:tab w:pos="839" w:val="left" w:leader="none"/>
          <w:tab w:pos="840" w:val="left" w:leader="none"/>
        </w:tabs>
        <w:spacing w:line="240" w:lineRule="auto" w:before="53" w:after="0"/>
        <w:ind w:left="840" w:right="0" w:hanging="360"/>
        <w:jc w:val="left"/>
        <w:rPr>
          <w:i/>
          <w:sz w:val="26"/>
        </w:rPr>
      </w:pPr>
      <w:r>
        <w:rPr/>
        <w:pict>
          <v:shape style="position:absolute;margin-left:359.899994pt;margin-top:17.763067pt;width:56pt;height:20.45pt;mso-position-horizontal-relative:page;mso-position-vertical-relative:paragraph;z-index:-3184" type="#_x0000_t202" filled="false" stroked="true" strokeweight="1pt" strokecolor="#aaacb3">
            <v:textbox inset="0,0,0,0">
              <w:txbxContent>
                <w:p>
                  <w:pPr>
                    <w:spacing w:before="55"/>
                    <w:ind w:left="10" w:right="0" w:firstLine="0"/>
                    <w:jc w:val="left"/>
                    <w:rPr>
                      <w:i/>
                      <w:sz w:val="24"/>
                    </w:rPr>
                  </w:pPr>
                  <w:r>
                    <w:rPr>
                      <w:i/>
                      <w:color w:val="3F3F3F"/>
                      <w:sz w:val="24"/>
                    </w:rPr>
                    <w:t>[the CEO]</w:t>
                  </w:r>
                </w:p>
              </w:txbxContent>
            </v:textbox>
            <v:stroke dashstyle="solid"/>
            <w10:wrap type="none"/>
          </v:shape>
        </w:pict>
      </w:r>
      <w:r>
        <w:rPr>
          <w:i/>
          <w:color w:val="3F3F3F"/>
          <w:sz w:val="26"/>
        </w:rPr>
        <w:t>Expenses must be submitted for reimbursement within 30</w:t>
      </w:r>
      <w:r>
        <w:rPr>
          <w:i/>
          <w:color w:val="3F3F3F"/>
          <w:spacing w:val="-18"/>
          <w:sz w:val="26"/>
        </w:rPr>
        <w:t> </w:t>
      </w:r>
      <w:r>
        <w:rPr>
          <w:i/>
          <w:color w:val="3F3F3F"/>
          <w:sz w:val="26"/>
        </w:rPr>
        <w:t>days.</w:t>
      </w:r>
    </w:p>
    <w:p>
      <w:pPr>
        <w:pStyle w:val="ListParagraph"/>
        <w:numPr>
          <w:ilvl w:val="0"/>
          <w:numId w:val="1"/>
        </w:numPr>
        <w:tabs>
          <w:tab w:pos="839" w:val="left" w:leader="none"/>
          <w:tab w:pos="840" w:val="left" w:leader="none"/>
          <w:tab w:pos="7051" w:val="left" w:leader="none"/>
        </w:tabs>
        <w:spacing w:line="240" w:lineRule="auto" w:before="61" w:after="0"/>
        <w:ind w:left="840" w:right="0" w:hanging="360"/>
        <w:jc w:val="left"/>
        <w:rPr>
          <w:i/>
          <w:sz w:val="26"/>
        </w:rPr>
      </w:pPr>
      <w:r>
        <w:rPr>
          <w:i/>
          <w:color w:val="3F3F3F"/>
          <w:sz w:val="26"/>
        </w:rPr>
        <w:t>Employees must submit expense</w:t>
      </w:r>
      <w:r>
        <w:rPr>
          <w:i/>
          <w:color w:val="3F3F3F"/>
          <w:spacing w:val="-17"/>
          <w:sz w:val="26"/>
        </w:rPr>
        <w:t> </w:t>
      </w:r>
      <w:r>
        <w:rPr>
          <w:i/>
          <w:color w:val="3F3F3F"/>
          <w:sz w:val="26"/>
        </w:rPr>
        <w:t>reports</w:t>
      </w:r>
      <w:r>
        <w:rPr>
          <w:i/>
          <w:color w:val="3F3F3F"/>
          <w:spacing w:val="-5"/>
          <w:sz w:val="26"/>
        </w:rPr>
        <w:t> </w:t>
      </w:r>
      <w:r>
        <w:rPr>
          <w:i/>
          <w:color w:val="3F3F3F"/>
          <w:sz w:val="26"/>
        </w:rPr>
        <w:t>to</w:t>
        <w:tab/>
        <w:t>for</w:t>
      </w:r>
      <w:r>
        <w:rPr>
          <w:i/>
          <w:color w:val="3F3F3F"/>
          <w:spacing w:val="-1"/>
          <w:sz w:val="26"/>
        </w:rPr>
        <w:t> </w:t>
      </w:r>
      <w:r>
        <w:rPr>
          <w:i/>
          <w:color w:val="3F3F3F"/>
          <w:sz w:val="26"/>
        </w:rPr>
        <w:t>approval.</w:t>
      </w:r>
    </w:p>
    <w:p>
      <w:pPr>
        <w:pStyle w:val="ListParagraph"/>
        <w:numPr>
          <w:ilvl w:val="0"/>
          <w:numId w:val="1"/>
        </w:numPr>
        <w:tabs>
          <w:tab w:pos="839" w:val="left" w:leader="none"/>
          <w:tab w:pos="840" w:val="left" w:leader="none"/>
        </w:tabs>
        <w:spacing w:line="288" w:lineRule="auto" w:before="61" w:after="0"/>
        <w:ind w:left="840" w:right="829" w:hanging="360"/>
        <w:jc w:val="left"/>
        <w:rPr>
          <w:i/>
          <w:sz w:val="26"/>
        </w:rPr>
      </w:pPr>
      <w:r>
        <w:rPr>
          <w:i/>
          <w:color w:val="3F3F3F"/>
          <w:sz w:val="26"/>
        </w:rPr>
        <w:t>The report must be accompanied by receipts or other</w:t>
      </w:r>
      <w:r>
        <w:rPr>
          <w:i/>
          <w:color w:val="3F3F3F"/>
          <w:spacing w:val="-43"/>
          <w:sz w:val="26"/>
        </w:rPr>
        <w:t> </w:t>
      </w:r>
      <w:r>
        <w:rPr>
          <w:i/>
          <w:color w:val="3F3F3F"/>
          <w:sz w:val="26"/>
        </w:rPr>
        <w:t>documentation </w:t>
      </w:r>
      <w:r>
        <w:rPr>
          <w:i/>
          <w:color w:val="3F3F3F"/>
          <w:sz w:val="26"/>
        </w:rPr>
        <w:t>substantiating the expenses</w:t>
      </w:r>
      <w:r>
        <w:rPr>
          <w:i/>
          <w:color w:val="3F3F3F"/>
          <w:spacing w:val="-5"/>
          <w:sz w:val="26"/>
        </w:rPr>
        <w:t> </w:t>
      </w:r>
      <w:r>
        <w:rPr>
          <w:i/>
          <w:color w:val="3F3F3F"/>
          <w:sz w:val="26"/>
        </w:rPr>
        <w:t>incurred.</w:t>
      </w:r>
    </w:p>
    <w:p>
      <w:pPr>
        <w:pStyle w:val="BodyText"/>
        <w:spacing w:before="5"/>
        <w:rPr>
          <w:i/>
          <w:sz w:val="35"/>
        </w:rPr>
      </w:pPr>
    </w:p>
    <w:p>
      <w:pPr>
        <w:pStyle w:val="BodyText"/>
        <w:spacing w:line="288" w:lineRule="auto"/>
        <w:ind w:left="120"/>
      </w:pPr>
      <w:r>
        <w:rPr>
          <w:i/>
          <w:color w:val="3F3F3F"/>
        </w:rPr>
        <w:t>Expenses deemed excessive by management may not be reimbursed and</w:t>
      </w:r>
      <w:r>
        <w:rPr>
          <w:i/>
          <w:color w:val="3F3F3F"/>
          <w:spacing w:val="-51"/>
        </w:rPr>
        <w:t> </w:t>
      </w:r>
      <w:r>
        <w:rPr>
          <w:i/>
          <w:color w:val="3F3F3F"/>
        </w:rPr>
        <w:t>may </w:t>
      </w:r>
      <w:r>
        <w:rPr>
          <w:color w:val="3F3F3F"/>
        </w:rPr>
        <w:t>subject the employee to progressive discipline, up to and including termination.</w:t>
      </w:r>
    </w:p>
    <w:p>
      <w:pPr>
        <w:pStyle w:val="BodyText"/>
        <w:spacing w:before="5"/>
        <w:rPr>
          <w:i/>
          <w:sz w:val="35"/>
        </w:rPr>
      </w:pPr>
    </w:p>
    <w:p>
      <w:pPr>
        <w:pStyle w:val="BodyText"/>
        <w:spacing w:line="288" w:lineRule="auto"/>
        <w:ind w:left="119" w:right="201"/>
      </w:pPr>
      <w:r>
        <w:rPr>
          <w:i/>
          <w:color w:val="3F3F3F"/>
        </w:rPr>
        <w:t>Any falsification of expense reports will be grounds for immediate dismissal from </w:t>
      </w:r>
      <w:r>
        <w:rPr>
          <w:color w:val="3F3F3F"/>
        </w:rPr>
        <w:t>employment.</w:t>
      </w:r>
    </w:p>
    <w:p>
      <w:pPr>
        <w:pStyle w:val="BodyText"/>
        <w:spacing w:before="8"/>
        <w:rPr>
          <w:i/>
          <w:sz w:val="22"/>
        </w:rPr>
      </w:pPr>
    </w:p>
    <w:p>
      <w:pPr>
        <w:spacing w:after="0"/>
        <w:rPr>
          <w:sz w:val="22"/>
        </w:rPr>
        <w:sectPr>
          <w:type w:val="continuous"/>
          <w:pgSz w:w="12240" w:h="15840"/>
          <w:pgMar w:top="1360" w:bottom="0" w:left="1320" w:right="1360"/>
        </w:sectPr>
      </w:pPr>
    </w:p>
    <w:p>
      <w:pPr>
        <w:pStyle w:val="BodyText"/>
        <w:spacing w:line="333" w:lineRule="auto" w:before="92"/>
        <w:ind w:left="120" w:right="19"/>
      </w:pPr>
      <w:r>
        <w:rPr/>
        <w:pict>
          <v:shape style="position:absolute;margin-left:207.263pt;margin-top:.571619pt;width:243.55pt;height:42.6pt;mso-position-horizontal-relative:page;mso-position-vertical-relative:paragraph;z-index:1144" type="#_x0000_t202" filled="false" stroked="false">
            <v:textbox inset="0,0,0,0">
              <w:txbxContent>
                <w:tbl>
                  <w:tblPr>
                    <w:tblW w:w="0" w:type="auto"/>
                    <w:jc w:val="left"/>
                    <w:tblBorders>
                      <w:top w:val="single" w:sz="8" w:space="0" w:color="AAACB3"/>
                      <w:left w:val="single" w:sz="8" w:space="0" w:color="AAACB3"/>
                      <w:bottom w:val="single" w:sz="8" w:space="0" w:color="AAACB3"/>
                      <w:right w:val="single" w:sz="8" w:space="0" w:color="AAACB3"/>
                      <w:insideH w:val="single" w:sz="8" w:space="0" w:color="AAACB3"/>
                      <w:insideV w:val="single" w:sz="8" w:space="0" w:color="AAACB3"/>
                    </w:tblBorders>
                    <w:tblLayout w:type="fixed"/>
                    <w:tblCellMar>
                      <w:top w:w="0" w:type="dxa"/>
                      <w:left w:w="0" w:type="dxa"/>
                      <w:bottom w:w="0" w:type="dxa"/>
                      <w:right w:w="0" w:type="dxa"/>
                    </w:tblCellMar>
                    <w:tblLook w:val="01E0"/>
                  </w:tblPr>
                  <w:tblGrid>
                    <w:gridCol w:w="2401"/>
                    <w:gridCol w:w="554"/>
                    <w:gridCol w:w="1886"/>
                  </w:tblGrid>
                  <w:tr>
                    <w:trPr>
                      <w:trHeight w:val="395" w:hRule="atLeast"/>
                    </w:trPr>
                    <w:tc>
                      <w:tcPr>
                        <w:tcW w:w="2401" w:type="dxa"/>
                        <w:tcBorders>
                          <w:top w:val="nil"/>
                          <w:left w:val="nil"/>
                        </w:tcBorders>
                      </w:tcPr>
                      <w:p>
                        <w:pPr>
                          <w:pStyle w:val="TableParagraph"/>
                          <w:spacing w:before="60"/>
                          <w:ind w:left="97" w:right="0"/>
                          <w:rPr>
                            <w:i/>
                            <w:sz w:val="26"/>
                          </w:rPr>
                        </w:pPr>
                        <w:r>
                          <w:rPr>
                            <w:i/>
                            <w:color w:val="3F3F3F"/>
                            <w:sz w:val="26"/>
                          </w:rPr>
                          <w:t>be submitted by the</w:t>
                        </w:r>
                      </w:p>
                    </w:tc>
                    <w:tc>
                      <w:tcPr>
                        <w:tcW w:w="2440" w:type="dxa"/>
                        <w:gridSpan w:val="2"/>
                      </w:tcPr>
                      <w:p>
                        <w:pPr>
                          <w:pStyle w:val="TableParagraph"/>
                          <w:ind w:left="19"/>
                          <w:rPr>
                            <w:i/>
                            <w:sz w:val="25"/>
                          </w:rPr>
                        </w:pPr>
                        <w:r>
                          <w:rPr>
                            <w:i/>
                            <w:color w:val="3F3F3F"/>
                            <w:spacing w:val="2"/>
                            <w:w w:val="105"/>
                            <w:sz w:val="25"/>
                          </w:rPr>
                          <w:t>[25th </w:t>
                        </w:r>
                        <w:r>
                          <w:rPr>
                            <w:i/>
                            <w:color w:val="3F3F3F"/>
                            <w:w w:val="105"/>
                            <w:sz w:val="25"/>
                          </w:rPr>
                          <w:t>of </w:t>
                        </w:r>
                        <w:r>
                          <w:rPr>
                            <w:i/>
                            <w:color w:val="3F3F3F"/>
                            <w:spacing w:val="2"/>
                            <w:w w:val="105"/>
                            <w:sz w:val="25"/>
                          </w:rPr>
                          <w:t>each</w:t>
                        </w:r>
                        <w:r>
                          <w:rPr>
                            <w:i/>
                            <w:color w:val="3F3F3F"/>
                            <w:spacing w:val="-30"/>
                            <w:w w:val="105"/>
                            <w:sz w:val="25"/>
                          </w:rPr>
                          <w:t> </w:t>
                        </w:r>
                        <w:r>
                          <w:rPr>
                            <w:i/>
                            <w:color w:val="3F3F3F"/>
                            <w:spacing w:val="3"/>
                            <w:w w:val="105"/>
                            <w:sz w:val="25"/>
                          </w:rPr>
                          <w:t>month]</w:t>
                        </w:r>
                      </w:p>
                    </w:tc>
                  </w:tr>
                  <w:tr>
                    <w:trPr>
                      <w:trHeight w:val="395" w:hRule="atLeast"/>
                    </w:trPr>
                    <w:tc>
                      <w:tcPr>
                        <w:tcW w:w="2955" w:type="dxa"/>
                        <w:gridSpan w:val="2"/>
                      </w:tcPr>
                      <w:p>
                        <w:pPr>
                          <w:pStyle w:val="TableParagraph"/>
                          <w:spacing w:before="70"/>
                          <w:ind w:left="20"/>
                          <w:rPr>
                            <w:i/>
                            <w:sz w:val="24"/>
                          </w:rPr>
                        </w:pPr>
                        <w:r>
                          <w:rPr>
                            <w:i/>
                            <w:color w:val="3F3F3F"/>
                            <w:spacing w:val="2"/>
                            <w:w w:val="105"/>
                            <w:sz w:val="24"/>
                          </w:rPr>
                          <w:t>[the </w:t>
                        </w:r>
                        <w:r>
                          <w:rPr>
                            <w:i/>
                            <w:color w:val="3F3F3F"/>
                            <w:w w:val="105"/>
                            <w:sz w:val="24"/>
                          </w:rPr>
                          <w:t>last day of the</w:t>
                        </w:r>
                        <w:r>
                          <w:rPr>
                            <w:i/>
                            <w:color w:val="3F3F3F"/>
                            <w:spacing w:val="-9"/>
                            <w:w w:val="105"/>
                            <w:sz w:val="24"/>
                          </w:rPr>
                          <w:t> </w:t>
                        </w:r>
                        <w:r>
                          <w:rPr>
                            <w:i/>
                            <w:color w:val="3F3F3F"/>
                            <w:spacing w:val="2"/>
                            <w:w w:val="105"/>
                            <w:sz w:val="24"/>
                          </w:rPr>
                          <w:t>month]</w:t>
                        </w:r>
                      </w:p>
                    </w:tc>
                    <w:tc>
                      <w:tcPr>
                        <w:tcW w:w="1886" w:type="dxa"/>
                        <w:tcBorders>
                          <w:bottom w:val="nil"/>
                          <w:right w:val="nil"/>
                        </w:tcBorders>
                      </w:tcPr>
                      <w:p>
                        <w:pPr>
                          <w:pStyle w:val="TableParagraph"/>
                          <w:spacing w:before="59"/>
                          <w:ind w:right="0"/>
                          <w:rPr>
                            <w:i/>
                            <w:sz w:val="26"/>
                          </w:rPr>
                        </w:pPr>
                        <w:r>
                          <w:rPr>
                            <w:i/>
                            <w:color w:val="3F3F3F"/>
                            <w:sz w:val="26"/>
                          </w:rPr>
                          <w:t>.</w:t>
                        </w:r>
                      </w:p>
                    </w:tc>
                  </w:tr>
                </w:tbl>
                <w:p>
                  <w:pPr>
                    <w:pStyle w:val="BodyText"/>
                  </w:pPr>
                </w:p>
              </w:txbxContent>
            </v:textbox>
            <w10:wrap type="none"/>
          </v:shape>
        </w:pict>
      </w:r>
      <w:r>
        <w:rPr>
          <w:i/>
          <w:color w:val="3F3F3F"/>
        </w:rPr>
        <w:t>Expense reports should </w:t>
      </w:r>
      <w:r>
        <w:rPr>
          <w:color w:val="3F3F3F"/>
        </w:rPr>
        <w:t>the payroll that runs on</w:t>
      </w:r>
    </w:p>
    <w:p>
      <w:pPr>
        <w:pStyle w:val="BodyText"/>
        <w:spacing w:before="92"/>
        <w:ind w:left="120"/>
        <w:rPr>
          <w:i/>
        </w:rPr>
      </w:pPr>
      <w:r>
        <w:rPr>
          <w:i w:val="0"/>
        </w:rPr>
        <w:br w:type="column"/>
      </w:r>
      <w:r>
        <w:rPr>
          <w:i/>
          <w:color w:val="3F3F3F"/>
        </w:rPr>
        <w:t>to be paid in</w:t>
      </w:r>
    </w:p>
    <w:p>
      <w:pPr>
        <w:spacing w:after="0"/>
        <w:sectPr>
          <w:type w:val="continuous"/>
          <w:pgSz w:w="12240" w:h="15840"/>
          <w:pgMar w:top="1360" w:bottom="0" w:left="1320" w:right="1360"/>
          <w:cols w:num="2" w:equalWidth="0">
            <w:col w:w="2891" w:space="4708"/>
            <w:col w:w="1961"/>
          </w:cols>
        </w:sectPr>
      </w:pPr>
    </w:p>
    <w:p>
      <w:pPr>
        <w:pStyle w:val="BodyText"/>
        <w:spacing w:before="4"/>
        <w:rPr>
          <w:i/>
          <w:sz w:val="22"/>
        </w:rPr>
      </w:pPr>
    </w:p>
    <w:p>
      <w:pPr>
        <w:pStyle w:val="BodyText"/>
        <w:spacing w:before="92"/>
        <w:ind w:left="120"/>
        <w:rPr>
          <w:i/>
        </w:rPr>
      </w:pPr>
      <w:r>
        <w:rPr>
          <w:i/>
          <w:color w:val="3F3F3F"/>
        </w:rPr>
        <w:t>Questions regarding this policy should be directed to your supervisor.</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9"/>
        <w:rPr>
          <w:i/>
          <w:sz w:val="21"/>
        </w:rPr>
      </w:pPr>
      <w:r>
        <w:rPr/>
        <w:drawing>
          <wp:anchor distT="0" distB="0" distL="0" distR="0" allowOverlap="1" layoutInCell="1" locked="0" behindDoc="1" simplePos="0" relativeHeight="268434431">
            <wp:simplePos x="0" y="0"/>
            <wp:positionH relativeFrom="page">
              <wp:posOffset>2826629</wp:posOffset>
            </wp:positionH>
            <wp:positionV relativeFrom="paragraph">
              <wp:posOffset>184115</wp:posOffset>
            </wp:positionV>
            <wp:extent cx="2036829" cy="372903"/>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036829" cy="372903"/>
                    </a:xfrm>
                    <a:prstGeom prst="rect">
                      <a:avLst/>
                    </a:prstGeom>
                  </pic:spPr>
                </pic:pic>
              </a:graphicData>
            </a:graphic>
          </wp:anchor>
        </w:drawing>
      </w:r>
    </w:p>
    <w:sectPr>
      <w:type w:val="continuous"/>
      <w:pgSz w:w="12240" w:h="15840"/>
      <w:pgMar w:top="1360" w:bottom="0" w:left="132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0"/>
      </w:pPr>
      <w:rPr>
        <w:rFonts w:hint="default" w:ascii="Arial" w:hAnsi="Arial" w:eastAsia="Arial" w:cs="Arial"/>
        <w:color w:val="535353"/>
        <w:spacing w:val="-25"/>
        <w:w w:val="100"/>
        <w:position w:val="1"/>
        <w:sz w:val="26"/>
        <w:szCs w:val="26"/>
      </w:rPr>
    </w:lvl>
    <w:lvl w:ilvl="1">
      <w:start w:val="0"/>
      <w:numFmt w:val="bullet"/>
      <w:lvlText w:val="•"/>
      <w:lvlJc w:val="left"/>
      <w:pPr>
        <w:ind w:left="1712" w:hanging="360"/>
      </w:pPr>
      <w:rPr>
        <w:rFonts w:hint="default"/>
      </w:rPr>
    </w:lvl>
    <w:lvl w:ilvl="2">
      <w:start w:val="0"/>
      <w:numFmt w:val="bullet"/>
      <w:lvlText w:val="•"/>
      <w:lvlJc w:val="left"/>
      <w:pPr>
        <w:ind w:left="2584" w:hanging="360"/>
      </w:pPr>
      <w:rPr>
        <w:rFonts w:hint="default"/>
      </w:rPr>
    </w:lvl>
    <w:lvl w:ilvl="3">
      <w:start w:val="0"/>
      <w:numFmt w:val="bullet"/>
      <w:lvlText w:val="•"/>
      <w:lvlJc w:val="left"/>
      <w:pPr>
        <w:ind w:left="3456" w:hanging="360"/>
      </w:pPr>
      <w:rPr>
        <w:rFonts w:hint="default"/>
      </w:rPr>
    </w:lvl>
    <w:lvl w:ilvl="4">
      <w:start w:val="0"/>
      <w:numFmt w:val="bullet"/>
      <w:lvlText w:val="•"/>
      <w:lvlJc w:val="left"/>
      <w:pPr>
        <w:ind w:left="4328" w:hanging="360"/>
      </w:pPr>
      <w:rPr>
        <w:rFonts w:hint="default"/>
      </w:rPr>
    </w:lvl>
    <w:lvl w:ilvl="5">
      <w:start w:val="0"/>
      <w:numFmt w:val="bullet"/>
      <w:lvlText w:val="•"/>
      <w:lvlJc w:val="left"/>
      <w:pPr>
        <w:ind w:left="5200" w:hanging="360"/>
      </w:pPr>
      <w:rPr>
        <w:rFonts w:hint="default"/>
      </w:rPr>
    </w:lvl>
    <w:lvl w:ilvl="6">
      <w:start w:val="0"/>
      <w:numFmt w:val="bullet"/>
      <w:lvlText w:val="•"/>
      <w:lvlJc w:val="left"/>
      <w:pPr>
        <w:ind w:left="6072" w:hanging="360"/>
      </w:pPr>
      <w:rPr>
        <w:rFonts w:hint="default"/>
      </w:rPr>
    </w:lvl>
    <w:lvl w:ilvl="7">
      <w:start w:val="0"/>
      <w:numFmt w:val="bullet"/>
      <w:lvlText w:val="•"/>
      <w:lvlJc w:val="left"/>
      <w:pPr>
        <w:ind w:left="6944" w:hanging="360"/>
      </w:pPr>
      <w:rPr>
        <w:rFonts w:hint="default"/>
      </w:rPr>
    </w:lvl>
    <w:lvl w:ilvl="8">
      <w:start w:val="0"/>
      <w:numFmt w:val="bullet"/>
      <w:lvlText w:val="•"/>
      <w:lvlJc w:val="left"/>
      <w:pPr>
        <w:ind w:left="781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i/>
      <w:sz w:val="26"/>
      <w:szCs w:val="26"/>
    </w:rPr>
  </w:style>
  <w:style w:styleId="ListParagraph" w:type="paragraph">
    <w:name w:val="List Paragraph"/>
    <w:basedOn w:val="Normal"/>
    <w:uiPriority w:val="1"/>
    <w:qFormat/>
    <w:pPr>
      <w:spacing w:before="61"/>
      <w:ind w:left="840" w:hanging="360"/>
    </w:pPr>
    <w:rPr>
      <w:rFonts w:ascii="Arial" w:hAnsi="Arial" w:eastAsia="Arial" w:cs="Arial"/>
    </w:rPr>
  </w:style>
  <w:style w:styleId="TableParagraph" w:type="paragraph">
    <w:name w:val="Table Paragraph"/>
    <w:basedOn w:val="Normal"/>
    <w:uiPriority w:val="1"/>
    <w:qFormat/>
    <w:pPr>
      <w:spacing w:before="47"/>
      <w:ind w:left="7" w:right="-15"/>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2018-11-13T18:03:32Z</dcterms:created>
  <dcterms:modified xsi:type="dcterms:W3CDTF">2018-11-13T18:03:32Z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PDFescape Desktop</vt:lpwstr>
  </property>
  <property fmtid="{D5CDD505-2E9C-101B-9397-08002B2CF9AE}" pid="3" name="LastSaved">
    <vt:filetime>2018-11-13T00:00:00Z</vt:filetime>
  </property>
</Properties>
</file>