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</w:rPr>
      </w:pPr>
      <w:r>
        <w:rPr/>
        <w:pict>
          <v:rect style="position:absolute;margin-left:171.5pt;margin-top:313.937988pt;width:14pt;height:14pt;mso-position-horizontal-relative:page;mso-position-vertical-relative:page;z-index:-9688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383.687988pt;width:14pt;height:14pt;mso-position-horizontal-relative:page;mso-position-vertical-relative:page;z-index:-9664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523.187988pt;width:14pt;height:14pt;mso-position-horizontal-relative:page;mso-position-vertical-relative:page;z-index:-9640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554.687988pt;width:14pt;height:14pt;mso-position-horizontal-relative:page;mso-position-vertical-relative:page;z-index:-9616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586.187988pt;width:14pt;height:14pt;mso-position-horizontal-relative:page;mso-position-vertical-relative:page;z-index:-9592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679.938293pt;width:14pt;height:14pt;mso-position-horizontal-relative:page;mso-position-vertical-relative:page;z-index:-9568" filled="false" stroked="true" strokeweight="1pt" strokecolor="#aaacb3">
            <v:stroke dashstyle="solid"/>
            <w10:wrap type="none"/>
          </v:rect>
        </w:pict>
      </w:r>
    </w:p>
    <w:p>
      <w:pPr>
        <w:spacing w:before="87"/>
        <w:ind w:left="160" w:right="0" w:firstLine="0"/>
        <w:jc w:val="left"/>
        <w:rPr>
          <w:sz w:val="40"/>
        </w:rPr>
      </w:pPr>
      <w:r>
        <w:rPr>
          <w:sz w:val="40"/>
        </w:rPr>
        <w:t>HR Compliance Audit Checklist</w:t>
      </w:r>
    </w:p>
    <w:p>
      <w:pPr>
        <w:pStyle w:val="BodyText"/>
        <w:spacing w:line="285" w:lineRule="auto" w:before="203"/>
        <w:ind w:left="160" w:right="42"/>
      </w:pPr>
      <w:r>
        <w:rPr/>
        <w:pict>
          <v:rect style="position:absolute;margin-left:171.5pt;margin-top:130.405853pt;width:14pt;height:14pt;mso-position-horizontal-relative:page;mso-position-vertical-relative:paragraph;z-index:-9712" filled="false" stroked="true" strokeweight="1pt" strokecolor="#aaacb3">
            <v:stroke dashstyle="solid"/>
            <w10:wrap type="none"/>
          </v:rect>
        </w:pict>
      </w:r>
      <w:r>
        <w:rPr>
          <w:i/>
        </w:rPr>
        <w:t>This document has been designed as a tool to monitor your small business’ HR compliance with </w:t>
      </w:r>
      <w:r>
        <w:rPr/>
        <w:t>federal labor laws. Best practice recommendations and links to additional information are provided to reduce your HR risk.</w:t>
      </w:r>
    </w:p>
    <w:p>
      <w:pPr>
        <w:spacing w:line="240" w:lineRule="auto" w:before="6" w:after="0"/>
        <w:rPr>
          <w:i/>
          <w:sz w:val="2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5490"/>
        <w:gridCol w:w="2010"/>
      </w:tblGrid>
      <w:tr>
        <w:trPr>
          <w:trHeight w:val="1075" w:hRule="atLeast"/>
        </w:trPr>
        <w:tc>
          <w:tcPr>
            <w:tcW w:w="1935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232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  <w:p>
            <w:pPr>
              <w:pStyle w:val="TableParagraph"/>
              <w:spacing w:before="9"/>
              <w:ind w:left="256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Compliance</w:t>
            </w:r>
          </w:p>
        </w:tc>
        <w:tc>
          <w:tcPr>
            <w:tcW w:w="5490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Verify these items...</w:t>
            </w:r>
          </w:p>
        </w:tc>
        <w:tc>
          <w:tcPr>
            <w:tcW w:w="2010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line="247" w:lineRule="auto" w:before="1"/>
              <w:ind w:left="364" w:right="365" w:firstLine="135"/>
              <w:rPr>
                <w:b/>
                <w:sz w:val="24"/>
              </w:rPr>
            </w:pPr>
            <w:r>
              <w:rPr>
                <w:b/>
                <w:sz w:val="24"/>
              </w:rPr>
              <w:t>Issues &amp; Next Steps</w:t>
            </w:r>
          </w:p>
        </w:tc>
      </w:tr>
      <w:tr>
        <w:trPr>
          <w:trHeight w:val="134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Posters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101"/>
              <w:rPr>
                <w:sz w:val="22"/>
              </w:rPr>
            </w:pPr>
            <w:r>
              <w:rPr>
                <w:sz w:val="22"/>
              </w:rPr>
              <w:t>Required by DOL 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States</w:t>
            </w:r>
          </w:p>
        </w:tc>
        <w:tc>
          <w:tcPr>
            <w:tcW w:w="5490" w:type="dxa"/>
          </w:tcPr>
          <w:p>
            <w:pPr>
              <w:pStyle w:val="TableParagraph"/>
              <w:spacing w:line="285" w:lineRule="auto" w:before="106"/>
              <w:ind w:left="529" w:right="506"/>
              <w:rPr>
                <w:sz w:val="22"/>
              </w:rPr>
            </w:pPr>
            <w:r>
              <w:rPr>
                <w:sz w:val="22"/>
              </w:rPr>
              <w:t>Mandatory postings are visible in a common area, such as employee break room or lobby.</w:t>
            </w: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6">
              <w:r>
                <w:rPr>
                  <w:color w:val="1154CC"/>
                  <w:sz w:val="22"/>
                  <w:u w:val="single" w:color="1154CC"/>
                </w:rPr>
                <w:t>federal labor laws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Personnel Files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101"/>
              <w:rPr>
                <w:sz w:val="22"/>
              </w:rPr>
            </w:pPr>
            <w:r>
              <w:rPr>
                <w:sz w:val="22"/>
              </w:rPr>
              <w:t>Required by multiple agencies</w:t>
            </w:r>
          </w:p>
        </w:tc>
        <w:tc>
          <w:tcPr>
            <w:tcW w:w="5490" w:type="dxa"/>
          </w:tcPr>
          <w:p>
            <w:pPr>
              <w:pStyle w:val="TableParagraph"/>
              <w:spacing w:line="285" w:lineRule="auto" w:before="106"/>
              <w:ind w:left="529" w:right="445"/>
              <w:rPr>
                <w:sz w:val="22"/>
              </w:rPr>
            </w:pPr>
            <w:r>
              <w:rPr>
                <w:sz w:val="22"/>
              </w:rPr>
              <w:t>Employee files are created, stored in a secure location and contain all required forms.</w:t>
            </w: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7">
              <w:r>
                <w:rPr>
                  <w:color w:val="1154CC"/>
                  <w:sz w:val="22"/>
                  <w:u w:val="single" w:color="1154CC"/>
                </w:rPr>
                <w:t>personnel file checklist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Policies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101"/>
              <w:rPr>
                <w:sz w:val="22"/>
              </w:rPr>
            </w:pPr>
            <w:r>
              <w:rPr>
                <w:sz w:val="22"/>
              </w:rPr>
              <w:t>Required by multiple agencies</w:t>
            </w:r>
          </w:p>
        </w:tc>
        <w:tc>
          <w:tcPr>
            <w:tcW w:w="5490" w:type="dxa"/>
          </w:tcPr>
          <w:p>
            <w:pPr>
              <w:pStyle w:val="TableParagraph"/>
              <w:spacing w:line="285" w:lineRule="auto" w:before="106"/>
              <w:ind w:left="529" w:right="249"/>
              <w:rPr>
                <w:sz w:val="22"/>
              </w:rPr>
            </w:pPr>
            <w:r>
              <w:rPr>
                <w:sz w:val="22"/>
              </w:rPr>
              <w:t>Required policies are documented, stored in the employee handbook and communicated to employees annually and upon hire.</w:t>
            </w:r>
          </w:p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8">
              <w:r>
                <w:rPr>
                  <w:color w:val="1154CC"/>
                  <w:sz w:val="22"/>
                  <w:u w:val="single" w:color="1154CC"/>
                </w:rPr>
                <w:t>employee handbook essentials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1935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232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  <w:p>
            <w:pPr>
              <w:pStyle w:val="TableParagraph"/>
              <w:spacing w:before="9"/>
              <w:ind w:left="256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Compliance</w:t>
            </w:r>
          </w:p>
        </w:tc>
        <w:tc>
          <w:tcPr>
            <w:tcW w:w="5490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Verify these processes and forms...</w:t>
            </w:r>
          </w:p>
        </w:tc>
        <w:tc>
          <w:tcPr>
            <w:tcW w:w="2010" w:type="dxa"/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line="247" w:lineRule="auto" w:before="1"/>
              <w:ind w:left="364" w:right="365" w:firstLine="135"/>
              <w:rPr>
                <w:b/>
                <w:sz w:val="24"/>
              </w:rPr>
            </w:pPr>
            <w:r>
              <w:rPr>
                <w:b/>
                <w:sz w:val="24"/>
              </w:rPr>
              <w:t>Issues &amp; Next Steps</w:t>
            </w:r>
          </w:p>
        </w:tc>
      </w:tr>
      <w:tr>
        <w:trPr>
          <w:trHeight w:val="383" w:hRule="atLeast"/>
        </w:trPr>
        <w:tc>
          <w:tcPr>
            <w:tcW w:w="1935" w:type="dxa"/>
            <w:tcBorders>
              <w:bottom w:val="nil"/>
            </w:tcBorders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Recruiting</w:t>
            </w:r>
          </w:p>
        </w:tc>
        <w:tc>
          <w:tcPr>
            <w:tcW w:w="5490" w:type="dxa"/>
            <w:tcBorders>
              <w:bottom w:val="nil"/>
            </w:tcBorders>
          </w:tcPr>
          <w:p>
            <w:pPr>
              <w:pStyle w:val="TableParagraph"/>
              <w:spacing w:before="106"/>
              <w:ind w:left="529"/>
              <w:rPr>
                <w:sz w:val="22"/>
              </w:rPr>
            </w:pPr>
            <w:r>
              <w:rPr>
                <w:sz w:val="22"/>
              </w:rPr>
              <w:t>Job application forms, interview and selection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97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94" w:right="113"/>
              <w:rPr>
                <w:sz w:val="22"/>
              </w:rPr>
            </w:pPr>
            <w:r>
              <w:rPr>
                <w:sz w:val="22"/>
              </w:rPr>
              <w:t>Required by EEOC, ADA, and</w:t>
            </w:r>
          </w:p>
          <w:p>
            <w:pPr>
              <w:pStyle w:val="TableParagraph"/>
              <w:spacing w:line="252" w:lineRule="exact"/>
              <w:ind w:left="94"/>
              <w:rPr>
                <w:sz w:val="22"/>
              </w:rPr>
            </w:pPr>
            <w:r>
              <w:rPr>
                <w:sz w:val="22"/>
              </w:rPr>
              <w:t>other agencies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0" w:lineRule="auto" w:before="17"/>
              <w:ind w:left="529" w:right="824"/>
              <w:rPr>
                <w:sz w:val="22"/>
              </w:rPr>
            </w:pPr>
            <w:r>
              <w:rPr>
                <w:sz w:val="22"/>
              </w:rPr>
              <w:t>process are non-discriminatory. Applications, selection notes and rejection reasons are documented.</w:t>
            </w:r>
          </w:p>
          <w:p>
            <w:pPr>
              <w:pStyle w:val="TableParagraph"/>
              <w:spacing w:line="249" w:lineRule="exact"/>
              <w:ind w:left="529"/>
              <w:rPr>
                <w:sz w:val="22"/>
              </w:rPr>
            </w:pPr>
            <w:r>
              <w:rPr>
                <w:sz w:val="22"/>
              </w:rPr>
              <w:t>State new-hire reporting completed on time.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9">
              <w:r>
                <w:rPr>
                  <w:color w:val="1154CC"/>
                  <w:sz w:val="22"/>
                  <w:u w:val="single" w:color="1154CC"/>
                </w:rPr>
                <w:t>how to hire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529"/>
              <w:rPr>
                <w:b/>
                <w:sz w:val="22"/>
              </w:rPr>
            </w:pPr>
            <w:r>
              <w:rPr>
                <w:b/>
                <w:sz w:val="22"/>
              </w:rPr>
              <w:t>Optional -- Best Practice: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6" w:hRule="atLeast"/>
        </w:trPr>
        <w:tc>
          <w:tcPr>
            <w:tcW w:w="1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529"/>
              <w:rPr>
                <w:sz w:val="22"/>
              </w:rPr>
            </w:pPr>
            <w:r>
              <w:rPr>
                <w:sz w:val="22"/>
              </w:rPr>
              <w:t>Pre-employment screening in place.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808" w:top="1500" w:bottom="1000" w:left="128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5490"/>
        <w:gridCol w:w="2010"/>
      </w:tblGrid>
      <w:tr>
        <w:trPr>
          <w:trHeight w:val="182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Onboarding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443"/>
              <w:rPr>
                <w:sz w:val="22"/>
              </w:rPr>
            </w:pPr>
            <w:r>
              <w:rPr>
                <w:sz w:val="22"/>
              </w:rPr>
              <w:t>Required by EEOC, FLSA,</w:t>
            </w:r>
          </w:p>
          <w:p>
            <w:pPr>
              <w:pStyle w:val="TableParagraph"/>
              <w:spacing w:line="256" w:lineRule="auto"/>
              <w:ind w:left="94" w:right="357"/>
              <w:rPr>
                <w:sz w:val="22"/>
              </w:rPr>
            </w:pPr>
            <w:r>
              <w:rPr>
                <w:sz w:val="22"/>
              </w:rPr>
              <w:t>ADA and other agencies</w:t>
            </w:r>
          </w:p>
        </w:tc>
        <w:tc>
          <w:tcPr>
            <w:tcW w:w="5490" w:type="dxa"/>
          </w:tcPr>
          <w:p>
            <w:pPr>
              <w:pStyle w:val="TableParagraph"/>
              <w:spacing w:before="106"/>
              <w:ind w:left="529"/>
              <w:rPr>
                <w:sz w:val="22"/>
              </w:rPr>
            </w:pPr>
            <w:r>
              <w:rPr>
                <w:sz w:val="22"/>
              </w:rPr>
              <w:t>Hiring documents stored in employee files.</w:t>
            </w:r>
          </w:p>
          <w:p>
            <w:pPr>
              <w:pStyle w:val="TableParagraph"/>
              <w:spacing w:line="300" w:lineRule="auto" w:before="62"/>
              <w:ind w:left="529" w:right="335"/>
              <w:rPr>
                <w:sz w:val="22"/>
              </w:rPr>
            </w:pPr>
            <w:r>
              <w:rPr>
                <w:sz w:val="22"/>
              </w:rPr>
              <w:t>-9 forms completed and maintained separately. Employee contact information available.</w:t>
            </w: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10">
              <w:r>
                <w:rPr>
                  <w:color w:val="1154CC"/>
                  <w:sz w:val="22"/>
                  <w:u w:val="single" w:color="1154CC"/>
                </w:rPr>
                <w:t>new employee orientation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Payroll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541"/>
              <w:rPr>
                <w:sz w:val="22"/>
              </w:rPr>
            </w:pPr>
            <w:r>
              <w:rPr>
                <w:sz w:val="22"/>
              </w:rPr>
              <w:t>Required by DOL, EEOC, FLSA, IRS,</w:t>
            </w:r>
          </w:p>
          <w:p>
            <w:pPr>
              <w:pStyle w:val="TableParagraph"/>
              <w:spacing w:line="256" w:lineRule="auto"/>
              <w:ind w:left="94" w:right="186"/>
              <w:rPr>
                <w:sz w:val="22"/>
              </w:rPr>
            </w:pPr>
            <w:r>
              <w:rPr>
                <w:sz w:val="22"/>
              </w:rPr>
              <w:t>States and other agencies</w:t>
            </w:r>
          </w:p>
        </w:tc>
        <w:tc>
          <w:tcPr>
            <w:tcW w:w="5490" w:type="dxa"/>
          </w:tcPr>
          <w:p>
            <w:pPr>
              <w:pStyle w:val="TableParagraph"/>
              <w:spacing w:line="300" w:lineRule="auto" w:before="106"/>
              <w:ind w:left="529" w:right="1729"/>
              <w:rPr>
                <w:sz w:val="22"/>
              </w:rPr>
            </w:pPr>
            <w:r>
              <w:rPr>
                <w:sz w:val="22"/>
              </w:rPr>
              <w:t>Employee classifications correct. Equal pay for equivalent jobs.</w:t>
            </w:r>
          </w:p>
          <w:p>
            <w:pPr>
              <w:pStyle w:val="TableParagraph"/>
              <w:spacing w:line="300" w:lineRule="auto"/>
              <w:ind w:left="529" w:right="372"/>
              <w:rPr>
                <w:sz w:val="22"/>
              </w:rPr>
            </w:pPr>
            <w:r>
              <w:rPr>
                <w:sz w:val="22"/>
              </w:rPr>
              <w:t>State payroll rules adhered to (minimum wage, payroll cycles, overtime rules, paystub requirements, final paychecks)</w:t>
            </w:r>
          </w:p>
          <w:p>
            <w:pPr>
              <w:pStyle w:val="TableParagraph"/>
              <w:spacing w:line="300" w:lineRule="auto"/>
              <w:ind w:left="529"/>
              <w:rPr>
                <w:sz w:val="22"/>
              </w:rPr>
            </w:pPr>
            <w:r>
              <w:rPr>
                <w:sz w:val="22"/>
              </w:rPr>
              <w:t>Workers’ compensation in insurance provided. Federal &amp; state taxes paid on time.</w:t>
            </w:r>
          </w:p>
          <w:p>
            <w:pPr>
              <w:pStyle w:val="TableParagraph"/>
              <w:spacing w:before="7"/>
              <w:rPr>
                <w:i/>
                <w:sz w:val="26"/>
              </w:rPr>
            </w:pPr>
          </w:p>
          <w:p>
            <w:pPr>
              <w:pStyle w:val="TableParagraph"/>
              <w:ind w:left="529"/>
              <w:rPr>
                <w:b/>
                <w:sz w:val="22"/>
              </w:rPr>
            </w:pPr>
            <w:r>
              <w:rPr>
                <w:b/>
                <w:sz w:val="22"/>
              </w:rPr>
              <w:t>Optional -- Best Practice:</w:t>
            </w:r>
          </w:p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spacing w:line="300" w:lineRule="auto"/>
              <w:ind w:left="529"/>
              <w:rPr>
                <w:sz w:val="22"/>
              </w:rPr>
            </w:pPr>
            <w:r>
              <w:rPr>
                <w:sz w:val="22"/>
              </w:rPr>
              <w:t>Employee self-service access to timesheets, pay stubs and year-end tax forms.</w:t>
            </w:r>
          </w:p>
          <w:p>
            <w:pPr>
              <w:pStyle w:val="TableParagraph"/>
              <w:spacing w:before="2"/>
              <w:rPr>
                <w:i/>
                <w:sz w:val="27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11">
              <w:r>
                <w:rPr>
                  <w:color w:val="1154CC"/>
                  <w:sz w:val="22"/>
                  <w:u w:val="single" w:color="1154CC"/>
                </w:rPr>
                <w:t>payroll process setup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5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Benefits</w:t>
            </w: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auto"/>
              <w:ind w:left="94" w:right="101"/>
              <w:rPr>
                <w:sz w:val="22"/>
              </w:rPr>
            </w:pPr>
            <w:r>
              <w:rPr>
                <w:sz w:val="22"/>
              </w:rPr>
              <w:t>Required by ACA and FMLA</w:t>
            </w:r>
          </w:p>
        </w:tc>
        <w:tc>
          <w:tcPr>
            <w:tcW w:w="5490" w:type="dxa"/>
          </w:tcPr>
          <w:p>
            <w:pPr>
              <w:pStyle w:val="TableParagraph"/>
              <w:spacing w:line="300" w:lineRule="auto" w:before="106"/>
              <w:ind w:left="529" w:right="445"/>
              <w:rPr>
                <w:sz w:val="22"/>
              </w:rPr>
            </w:pPr>
            <w:r>
              <w:rPr>
                <w:sz w:val="22"/>
              </w:rPr>
              <w:t>Sick leave accruals and benefits documented and adhered to (required by some states).</w:t>
            </w:r>
          </w:p>
          <w:p>
            <w:pPr>
              <w:pStyle w:val="TableParagraph"/>
              <w:spacing w:line="300" w:lineRule="auto"/>
              <w:ind w:left="529" w:right="689"/>
              <w:rPr>
                <w:sz w:val="22"/>
              </w:rPr>
            </w:pPr>
            <w:r>
              <w:rPr>
                <w:sz w:val="22"/>
              </w:rPr>
              <w:t>FMLA process documented and adhered to (required if over 50 employees)</w:t>
            </w:r>
          </w:p>
          <w:p>
            <w:pPr>
              <w:pStyle w:val="TableParagraph"/>
              <w:spacing w:line="300" w:lineRule="auto"/>
              <w:ind w:left="529" w:right="445"/>
              <w:rPr>
                <w:sz w:val="22"/>
              </w:rPr>
            </w:pPr>
            <w:r>
              <w:rPr>
                <w:sz w:val="22"/>
              </w:rPr>
              <w:t>ACA-compliant health care offered (required if over 50 FTE)</w:t>
            </w:r>
          </w:p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12">
              <w:r>
                <w:rPr>
                  <w:color w:val="1154CC"/>
                  <w:sz w:val="22"/>
                  <w:u w:val="single" w:color="1154CC"/>
                </w:rPr>
                <w:t>state sick leave laws</w:t>
              </w:r>
            </w:hyperlink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8"/>
              <w:rPr>
                <w:i/>
                <w:sz w:val="32"/>
              </w:rPr>
            </w:pPr>
          </w:p>
          <w:p>
            <w:pPr>
              <w:pStyle w:val="TableParagraph"/>
              <w:spacing w:before="1"/>
              <w:ind w:left="529"/>
              <w:rPr>
                <w:b/>
                <w:sz w:val="22"/>
              </w:rPr>
            </w:pPr>
            <w:r>
              <w:rPr>
                <w:b/>
                <w:sz w:val="22"/>
              </w:rPr>
              <w:t>Optional -- Best Practice:</w:t>
            </w:r>
          </w:p>
          <w:p>
            <w:pPr>
              <w:pStyle w:val="TableParagraph"/>
              <w:spacing w:before="8"/>
              <w:rPr>
                <w:i/>
                <w:sz w:val="32"/>
              </w:rPr>
            </w:pPr>
          </w:p>
          <w:p>
            <w:pPr>
              <w:pStyle w:val="TableParagraph"/>
              <w:spacing w:before="1"/>
              <w:ind w:left="529"/>
              <w:rPr>
                <w:sz w:val="22"/>
              </w:rPr>
            </w:pPr>
            <w:r>
              <w:rPr>
                <w:sz w:val="22"/>
              </w:rPr>
              <w:t>Vacation and holiday pay offered and accrued.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71pt;margin-top:248.187988pt;width:15pt;height:30.75pt;mso-position-horizontal-relative:page;mso-position-vertical-relative:page;z-index:-9544" coordorigin="3420,4964" coordsize="300,615">
            <v:rect style="position:absolute;left:3430;top:4973;width:280;height:280" filled="false" stroked="true" strokeweight="1pt" strokecolor="#aaacb3">
              <v:stroke dashstyle="solid"/>
            </v:rect>
            <v:rect style="position:absolute;left:3430;top:5288;width:280;height:280" filled="false" stroked="true" strokeweight="1pt" strokecolor="#aaacb3">
              <v:stroke dashstyle="solid"/>
            </v:rect>
            <w10:wrap type="none"/>
          </v:group>
        </w:pict>
      </w:r>
      <w:r>
        <w:rPr/>
        <w:pict>
          <v:rect style="position:absolute;margin-left:171.5pt;margin-top:327.437988pt;width:14pt;height:14pt;mso-position-horizontal-relative:page;mso-position-vertical-relative:page;z-index:-9520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415.187988pt;width:14pt;height:14pt;mso-position-horizontal-relative:page;mso-position-vertical-relative:page;z-index:-9496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446.687988pt;width:14pt;height:14pt;mso-position-horizontal-relative:page;mso-position-vertical-relative:page;z-index:-9472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478.187988pt;width:14pt;height:14pt;mso-position-horizontal-relative:page;mso-position-vertical-relative:page;z-index:-9448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71.5pt;margin-top:588.437988pt;width:14pt;height:14pt;mso-position-horizontal-relative:page;mso-position-vertical-relative:page;z-index:-9424" filled="false" stroked="true" strokeweight="1pt" strokecolor="#aaacb3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pt;margin-top:77.187988pt;width:15.5pt;height:46.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69.437988pt;width:15.5pt;height:46.5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08" w:top="1440" w:bottom="1000" w:left="128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5490"/>
        <w:gridCol w:w="2010"/>
      </w:tblGrid>
      <w:tr>
        <w:trPr>
          <w:trHeight w:val="4255" w:hRule="atLeast"/>
        </w:trPr>
        <w:tc>
          <w:tcPr>
            <w:tcW w:w="1935" w:type="dxa"/>
          </w:tcPr>
          <w:p>
            <w:pPr>
              <w:pStyle w:val="TableParagraph"/>
              <w:spacing w:line="256" w:lineRule="auto" w:before="106"/>
              <w:ind w:left="94" w:right="456"/>
              <w:rPr>
                <w:b/>
                <w:sz w:val="22"/>
              </w:rPr>
            </w:pPr>
            <w:r>
              <w:rPr>
                <w:b/>
                <w:sz w:val="22"/>
              </w:rPr>
              <w:t>People Management</w:t>
            </w:r>
          </w:p>
        </w:tc>
        <w:tc>
          <w:tcPr>
            <w:tcW w:w="5490" w:type="dxa"/>
          </w:tcPr>
          <w:p>
            <w:pPr>
              <w:pStyle w:val="TableParagraph"/>
              <w:spacing w:line="300" w:lineRule="auto" w:before="106"/>
              <w:ind w:left="529" w:right="983"/>
              <w:rPr>
                <w:sz w:val="22"/>
              </w:rPr>
            </w:pPr>
            <w:r>
              <w:rPr>
                <w:sz w:val="22"/>
              </w:rPr>
              <w:t>Sexual harassment addressed promptly. Discrimination prevented.</w:t>
            </w:r>
          </w:p>
          <w:p>
            <w:pPr>
              <w:pStyle w:val="TableParagraph"/>
              <w:spacing w:line="300" w:lineRule="auto"/>
              <w:ind w:left="529" w:right="1007"/>
              <w:rPr>
                <w:sz w:val="22"/>
              </w:rPr>
            </w:pPr>
            <w:r>
              <w:rPr>
                <w:sz w:val="22"/>
              </w:rPr>
              <w:t>OSHA safety requirements adhered to. Workplace accommodations as needed.</w:t>
            </w:r>
          </w:p>
          <w:p>
            <w:pPr>
              <w:pStyle w:val="TableParagraph"/>
              <w:spacing w:line="251" w:lineRule="exact"/>
              <w:ind w:left="529"/>
              <w:rPr>
                <w:sz w:val="22"/>
              </w:rPr>
            </w:pPr>
            <w:r>
              <w:rPr>
                <w:sz w:val="22"/>
              </w:rPr>
              <w:t>At will employment doctrine communicated.</w:t>
            </w:r>
          </w:p>
          <w:p>
            <w:pPr>
              <w:pStyle w:val="TableParagraph"/>
              <w:spacing w:before="6"/>
              <w:rPr>
                <w:i/>
                <w:sz w:val="32"/>
              </w:rPr>
            </w:pPr>
          </w:p>
          <w:p>
            <w:pPr>
              <w:pStyle w:val="TableParagraph"/>
              <w:ind w:left="529"/>
              <w:rPr>
                <w:b/>
                <w:sz w:val="22"/>
              </w:rPr>
            </w:pPr>
            <w:r>
              <w:rPr>
                <w:b/>
                <w:sz w:val="22"/>
              </w:rPr>
              <w:t>Optional -- Best Practice:</w:t>
            </w:r>
          </w:p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spacing w:line="300" w:lineRule="auto" w:before="1"/>
              <w:ind w:left="529" w:right="726"/>
              <w:rPr>
                <w:sz w:val="22"/>
              </w:rPr>
            </w:pPr>
            <w:r>
              <w:rPr>
                <w:sz w:val="22"/>
              </w:rPr>
              <w:t>Performance reviews documented and fair. Employee discipline process documented. Annual anti-discrimination/anti-harassment training provided.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0" w:hRule="atLeast"/>
        </w:trPr>
        <w:tc>
          <w:tcPr>
            <w:tcW w:w="1935" w:type="dxa"/>
          </w:tcPr>
          <w:p>
            <w:pPr>
              <w:pStyle w:val="TableParagraph"/>
              <w:spacing w:before="10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</w:t>
            </w:r>
          </w:p>
        </w:tc>
        <w:tc>
          <w:tcPr>
            <w:tcW w:w="5490" w:type="dxa"/>
          </w:tcPr>
          <w:p>
            <w:pPr>
              <w:pStyle w:val="TableParagraph"/>
              <w:spacing w:line="300" w:lineRule="auto" w:before="106"/>
              <w:ind w:left="529" w:right="1521"/>
              <w:rPr>
                <w:sz w:val="22"/>
              </w:rPr>
            </w:pPr>
            <w:r>
              <w:rPr>
                <w:sz w:val="22"/>
              </w:rPr>
              <w:t>Termination rationale documented. Final paychecks provided on time.</w:t>
            </w:r>
          </w:p>
          <w:p>
            <w:pPr>
              <w:pStyle w:val="TableParagraph"/>
              <w:spacing w:line="597" w:lineRule="auto"/>
              <w:ind w:left="529" w:right="433"/>
              <w:rPr>
                <w:sz w:val="22"/>
              </w:rPr>
            </w:pPr>
            <w:r>
              <w:rPr>
                <w:sz w:val="22"/>
              </w:rPr>
              <w:t>COBRA offered (if health insurance provided). Refer to </w:t>
            </w:r>
            <w:hyperlink r:id="rId13">
              <w:r>
                <w:rPr>
                  <w:color w:val="1154CC"/>
                  <w:sz w:val="22"/>
                  <w:u w:val="single" w:color="1154CC"/>
                </w:rPr>
                <w:t>how to fire an employee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0" w:hRule="atLeast"/>
        </w:trPr>
        <w:tc>
          <w:tcPr>
            <w:tcW w:w="1935" w:type="dxa"/>
          </w:tcPr>
          <w:p>
            <w:pPr>
              <w:pStyle w:val="TableParagraph"/>
              <w:spacing w:line="256" w:lineRule="auto" w:before="106"/>
              <w:ind w:left="94" w:right="725"/>
              <w:rPr>
                <w:b/>
                <w:sz w:val="22"/>
              </w:rPr>
            </w:pPr>
            <w:r>
              <w:rPr>
                <w:b/>
                <w:sz w:val="22"/>
              </w:rPr>
              <w:t>Document Retention</w:t>
            </w:r>
          </w:p>
        </w:tc>
        <w:tc>
          <w:tcPr>
            <w:tcW w:w="5490" w:type="dxa"/>
          </w:tcPr>
          <w:p>
            <w:pPr>
              <w:pStyle w:val="TableParagraph"/>
              <w:spacing w:line="300" w:lineRule="auto" w:before="106"/>
              <w:ind w:left="529" w:right="1051"/>
              <w:rPr>
                <w:sz w:val="22"/>
              </w:rPr>
            </w:pPr>
            <w:r>
              <w:rPr>
                <w:sz w:val="22"/>
              </w:rPr>
              <w:t>Job applications destroyed after 3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years I-9 forms destroyed after 3 years Payroll files maintained for 4-5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  <w:p>
            <w:pPr>
              <w:pStyle w:val="TableParagraph"/>
              <w:spacing w:line="300" w:lineRule="auto"/>
              <w:ind w:left="529" w:right="103"/>
              <w:rPr>
                <w:sz w:val="22"/>
              </w:rPr>
            </w:pPr>
            <w:r>
              <w:rPr>
                <w:sz w:val="22"/>
              </w:rPr>
              <w:t>Retirement &amp; 401(k) files maintained for 6 years Terminated employee files maintained for 7 years</w:t>
            </w:r>
          </w:p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left="529"/>
              <w:rPr>
                <w:sz w:val="22"/>
              </w:rPr>
            </w:pPr>
            <w:r>
              <w:rPr>
                <w:sz w:val="22"/>
              </w:rPr>
              <w:t>Refer to </w:t>
            </w:r>
            <w:hyperlink r:id="rId14">
              <w:r>
                <w:rPr>
                  <w:color w:val="1154CC"/>
                  <w:sz w:val="22"/>
                  <w:u w:val="single" w:color="1154CC"/>
                </w:rPr>
                <w:t>document retention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/>
        <w:rPr>
          <w:i/>
          <w:sz w:val="18"/>
        </w:rPr>
      </w:pPr>
      <w:r>
        <w:rPr/>
        <w:pict>
          <v:shape style="position:absolute;margin-left:171pt;margin-top:77.187988pt;width:15.5pt;height:78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03.187988pt;width:15.5pt;height:46.5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90.937988pt;width:15.5pt;height:46.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85" w:lineRule="auto" w:before="93"/>
        <w:ind w:left="160" w:right="140"/>
      </w:pPr>
      <w:r>
        <w:rPr/>
        <w:pict>
          <v:shape style="position:absolute;margin-left:171pt;margin-top:-127.594139pt;width:15.5pt;height:78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8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As state and local labor laws may be more restrictive, and compliance needs vary by industry </w:t>
      </w:r>
      <w:r>
        <w:rPr/>
        <w:t>and size, please refer to state and local labor law requirements. Then, modify the checklist based on your organization’s size, industry, and location.</w:t>
      </w:r>
    </w:p>
    <w:sectPr>
      <w:pgSz w:w="12240" w:h="15840"/>
      <w:pgMar w:header="0" w:footer="808" w:top="1440" w:bottom="100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5743">
          <wp:simplePos x="0" y="0"/>
          <wp:positionH relativeFrom="page">
            <wp:posOffset>2637574</wp:posOffset>
          </wp:positionH>
          <wp:positionV relativeFrom="page">
            <wp:posOffset>9418320</wp:posOffset>
          </wp:positionV>
          <wp:extent cx="2497251" cy="4571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7251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fitsmallbusiness.com/federal-labor-laws/" TargetMode="External"/><Relationship Id="rId7" Type="http://schemas.openxmlformats.org/officeDocument/2006/relationships/hyperlink" Target="https://fitsmallbusiness.com/personnel-file/" TargetMode="External"/><Relationship Id="rId8" Type="http://schemas.openxmlformats.org/officeDocument/2006/relationships/hyperlink" Target="https://fitsmallbusiness.com/employee-handbook-sample/" TargetMode="External"/><Relationship Id="rId9" Type="http://schemas.openxmlformats.org/officeDocument/2006/relationships/hyperlink" Target="https://fitsmallbusiness.com/how-to-hire-employees/" TargetMode="External"/><Relationship Id="rId10" Type="http://schemas.openxmlformats.org/officeDocument/2006/relationships/hyperlink" Target="https://fitsmallbusiness.com/new-employee-orientation/" TargetMode="External"/><Relationship Id="rId11" Type="http://schemas.openxmlformats.org/officeDocument/2006/relationships/hyperlink" Target="https://fitsmallbusiness.com/how-to-set-up-payroll-checklist/" TargetMode="External"/><Relationship Id="rId12" Type="http://schemas.openxmlformats.org/officeDocument/2006/relationships/hyperlink" Target="https://fitsmallbusiness.com/paid-state-sick-leave-laws/" TargetMode="External"/><Relationship Id="rId13" Type="http://schemas.openxmlformats.org/officeDocument/2006/relationships/hyperlink" Target="https://fitsmallbusiness.com/how-to-fire-an-employee/" TargetMode="External"/><Relationship Id="rId14" Type="http://schemas.openxmlformats.org/officeDocument/2006/relationships/hyperlink" Target="https://fitsmallbusiness.com/payroll-records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2018-11-16T17:22:05Z</dcterms:created>
  <dcterms:modified xsi:type="dcterms:W3CDTF">2018-11-16T17:22:05Z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2018-11-16T00:00:00Z</vt:filetime>
  </property>
</Properties>
</file>