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1358" w:right="0" w:firstLine="0"/>
        <w:jc w:val="left"/>
        <w:rPr>
          <w:rFonts w:ascii="Helvetica"/>
          <w:b/>
          <w:sz w:val="36"/>
        </w:rPr>
      </w:pPr>
      <w:r>
        <w:rPr>
          <w:rFonts w:ascii="Helvetica"/>
          <w:b/>
          <w:color w:val="231F20"/>
          <w:sz w:val="36"/>
        </w:rPr>
        <w:t>Checklist for Setting Up Voicemail Transcription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spacing w:line="249" w:lineRule="auto"/>
        <w:ind w:left="352" w:right="82"/>
      </w:pPr>
      <w:r>
        <w:rPr>
          <w:color w:val="231F20"/>
        </w:rPr>
        <w:t>Use these checklists to help guide you through the process of setting up voicemail transcription to email and voicemail to text with your voice-over-internet-provider (VoIP) phone service.</w:t>
      </w:r>
    </w:p>
    <w:p>
      <w:pPr>
        <w:pStyle w:val="BodyText"/>
        <w:spacing w:line="249" w:lineRule="auto" w:before="2"/>
        <w:ind w:left="352" w:right="215"/>
      </w:pPr>
      <w:r>
        <w:rPr>
          <w:color w:val="231F20"/>
        </w:rPr>
        <w:t>These are just general guidelines and examples so be sure to check with your provider for the most thorough instructions for your system.</w:t>
      </w:r>
    </w:p>
    <w:p>
      <w:pPr>
        <w:pStyle w:val="BodyText"/>
      </w:pPr>
    </w:p>
    <w:p>
      <w:pPr>
        <w:pStyle w:val="Heading1"/>
        <w:spacing w:before="150"/>
        <w:ind w:left="1698"/>
      </w:pPr>
      <w:r>
        <w:rPr>
          <w:color w:val="231F20"/>
        </w:rPr>
        <w:t>Setting Up Voicemail Transcription to Email</w:t>
      </w:r>
    </w:p>
    <w:p>
      <w:pPr>
        <w:spacing w:before="161"/>
        <w:ind w:left="1496" w:right="1246" w:firstLine="0"/>
        <w:jc w:val="center"/>
        <w:rPr>
          <w:rFonts w:ascii="Helvetica"/>
          <w:i/>
          <w:sz w:val="20"/>
        </w:rPr>
      </w:pPr>
      <w:r>
        <w:rPr>
          <w:rFonts w:ascii="Helvetica"/>
          <w:i/>
          <w:color w:val="231F20"/>
          <w:sz w:val="20"/>
        </w:rPr>
        <w:t>This is an example using Nextiva. Your VoIP provider instructions may vary.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tbl>
      <w:tblPr>
        <w:tblW w:w="0" w:type="auto"/>
        <w:jc w:val="left"/>
        <w:tblInd w:w="3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900"/>
        <w:gridCol w:w="4227"/>
      </w:tblGrid>
      <w:tr>
        <w:trPr>
          <w:trHeight w:val="513" w:hRule="atLeast"/>
        </w:trPr>
        <w:tc>
          <w:tcPr>
            <w:tcW w:w="908" w:type="dxa"/>
            <w:shd w:val="clear" w:color="auto" w:fill="1C85C7"/>
          </w:tcPr>
          <w:p>
            <w:pPr>
              <w:pStyle w:val="TableParagraph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Step</w:t>
            </w:r>
          </w:p>
        </w:tc>
        <w:tc>
          <w:tcPr>
            <w:tcW w:w="4900" w:type="dxa"/>
            <w:shd w:val="clear" w:color="auto" w:fill="1C85C7"/>
          </w:tcPr>
          <w:p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 To Do</w:t>
            </w:r>
          </w:p>
        </w:tc>
        <w:tc>
          <w:tcPr>
            <w:tcW w:w="4227" w:type="dxa"/>
            <w:shd w:val="clear" w:color="auto" w:fill="1C85C7"/>
          </w:tcPr>
          <w:p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Details</w:t>
            </w:r>
          </w:p>
        </w:tc>
      </w:tr>
      <w:tr>
        <w:trPr>
          <w:trHeight w:val="979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4900" w:type="dxa"/>
          </w:tcPr>
          <w:p>
            <w:pPr>
              <w:pStyle w:val="TableParagraph"/>
              <w:spacing w:before="208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Log into the VoIP system</w:t>
            </w:r>
          </w:p>
        </w:tc>
        <w:tc>
          <w:tcPr>
            <w:tcW w:w="4227" w:type="dxa"/>
          </w:tcPr>
          <w:p>
            <w:pPr>
              <w:pStyle w:val="TableParagraph"/>
              <w:spacing w:before="208"/>
              <w:ind w:left="139" w:right="96"/>
              <w:rPr>
                <w:sz w:val="24"/>
              </w:rPr>
            </w:pPr>
            <w:r>
              <w:rPr>
                <w:color w:val="231F20"/>
                <w:sz w:val="24"/>
              </w:rPr>
              <w:t>Check with your manager or admin if you don’t remember your credentials.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rFonts w:ascii="Helvetica"/>
                <w:i/>
                <w:sz w:val="27"/>
              </w:rPr>
            </w:pPr>
          </w:p>
          <w:p>
            <w:pPr>
              <w:pStyle w:val="TableParagraph"/>
              <w:spacing w:before="0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4900" w:type="dxa"/>
          </w:tcPr>
          <w:p>
            <w:pPr>
              <w:pStyle w:val="TableParagraph"/>
              <w:spacing w:before="68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Head to user settings</w:t>
            </w:r>
          </w:p>
        </w:tc>
        <w:tc>
          <w:tcPr>
            <w:tcW w:w="4227" w:type="dxa"/>
          </w:tcPr>
          <w:p>
            <w:pPr>
              <w:pStyle w:val="TableParagraph"/>
              <w:spacing w:before="68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Alternatively, look for a section labeled “Customer Settings” or “User Dashboard.”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21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4900" w:type="dxa"/>
          </w:tcPr>
          <w:p>
            <w:pPr>
              <w:pStyle w:val="TableParagraph"/>
              <w:spacing w:before="88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Select the voicemail settings</w:t>
            </w:r>
          </w:p>
        </w:tc>
        <w:tc>
          <w:tcPr>
            <w:tcW w:w="4227" w:type="dxa"/>
          </w:tcPr>
          <w:p>
            <w:pPr>
              <w:pStyle w:val="TableParagraph"/>
              <w:spacing w:before="88"/>
              <w:ind w:left="139" w:right="558"/>
              <w:rPr>
                <w:sz w:val="24"/>
              </w:rPr>
            </w:pPr>
            <w:r>
              <w:rPr>
                <w:color w:val="231F20"/>
                <w:sz w:val="24"/>
              </w:rPr>
              <w:t>This setting could also be named “Voicemail Transcription” or simply “Voicemail.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25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4900" w:type="dxa"/>
          </w:tcPr>
          <w:p>
            <w:pPr>
              <w:pStyle w:val="TableParagraph"/>
              <w:spacing w:before="188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Click the edit icon</w:t>
            </w:r>
          </w:p>
        </w:tc>
        <w:tc>
          <w:tcPr>
            <w:tcW w:w="4227" w:type="dxa"/>
          </w:tcPr>
          <w:p>
            <w:pPr>
              <w:pStyle w:val="TableParagraph"/>
              <w:spacing w:before="187"/>
              <w:ind w:left="170" w:hanging="31"/>
              <w:rPr>
                <w:sz w:val="24"/>
              </w:rPr>
            </w:pPr>
            <w:r>
              <w:rPr>
                <w:color w:val="231F20"/>
                <w:sz w:val="24"/>
              </w:rPr>
              <w:t>Some VoIP systems may label this step “Edit” or feature a pencil and notebook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4900" w:type="dxa"/>
          </w:tcPr>
          <w:p>
            <w:pPr>
              <w:pStyle w:val="TableParagraph"/>
              <w:spacing w:before="88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Choose your voicemail transcription settings</w:t>
            </w:r>
          </w:p>
        </w:tc>
        <w:tc>
          <w:tcPr>
            <w:tcW w:w="4227" w:type="dxa"/>
          </w:tcPr>
          <w:p>
            <w:pPr>
              <w:pStyle w:val="TableParagraph"/>
              <w:spacing w:before="87"/>
              <w:ind w:left="139" w:right="96"/>
              <w:rPr>
                <w:sz w:val="24"/>
              </w:rPr>
            </w:pPr>
            <w:r>
              <w:rPr>
                <w:color w:val="231F20"/>
                <w:sz w:val="24"/>
              </w:rPr>
              <w:t>Provide an email address of where you want the notification or attachment sent.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4900" w:type="dxa"/>
          </w:tcPr>
          <w:p>
            <w:pPr>
              <w:pStyle w:val="TableParagraph"/>
              <w:spacing w:before="7"/>
              <w:rPr>
                <w:rFonts w:ascii="Helvetica"/>
                <w:i/>
                <w:sz w:val="23"/>
              </w:rPr>
            </w:pPr>
          </w:p>
          <w:p>
            <w:pPr>
              <w:pStyle w:val="TableParagraph"/>
              <w:spacing w:before="0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Click save and exit settings</w:t>
            </w:r>
          </w:p>
        </w:tc>
        <w:tc>
          <w:tcPr>
            <w:tcW w:w="4227" w:type="dxa"/>
          </w:tcPr>
          <w:p>
            <w:pPr>
              <w:pStyle w:val="TableParagraph"/>
              <w:spacing w:before="7"/>
              <w:rPr>
                <w:rFonts w:ascii="Helvetica"/>
                <w:i/>
                <w:sz w:val="23"/>
              </w:rPr>
            </w:pPr>
          </w:p>
          <w:p>
            <w:pPr>
              <w:pStyle w:val="TableParagraph"/>
              <w:spacing w:before="0"/>
              <w:ind w:left="139" w:right="96"/>
              <w:rPr>
                <w:sz w:val="24"/>
              </w:rPr>
            </w:pPr>
            <w:r>
              <w:rPr>
                <w:color w:val="231F20"/>
                <w:sz w:val="24"/>
              </w:rPr>
              <w:t>This ensures you don’t lose any changes.</w:t>
            </w:r>
          </w:p>
        </w:tc>
      </w:tr>
    </w:tbl>
    <w:p>
      <w:pPr>
        <w:pStyle w:val="BodyText"/>
        <w:spacing w:before="6"/>
        <w:rPr>
          <w:i/>
          <w:sz w:val="6"/>
        </w:rPr>
      </w:pPr>
    </w:p>
    <w:p>
      <w:pPr>
        <w:pStyle w:val="BodyText"/>
        <w:ind w:left="2980"/>
        <w:rPr>
          <w:sz w:val="20"/>
        </w:rPr>
      </w:pPr>
      <w:r>
        <w:rPr>
          <w:sz w:val="20"/>
        </w:rPr>
        <w:drawing>
          <wp:inline distT="0" distB="0" distL="0" distR="0">
            <wp:extent cx="2715768" cy="49720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960" w:bottom="280" w:left="980" w:right="720"/>
        </w:sectPr>
      </w:pPr>
    </w:p>
    <w:p>
      <w:pPr>
        <w:pStyle w:val="Heading1"/>
        <w:ind w:right="1755"/>
        <w:jc w:val="center"/>
      </w:pPr>
      <w:r>
        <w:rPr>
          <w:color w:val="231F20"/>
        </w:rPr>
        <w:t>Setting Up Voicemail Transcription to Text</w:t>
      </w:r>
    </w:p>
    <w:p>
      <w:pPr>
        <w:spacing w:before="84"/>
        <w:ind w:left="1496" w:right="1755" w:firstLine="0"/>
        <w:jc w:val="center"/>
        <w:rPr>
          <w:rFonts w:ascii="Helvetica"/>
          <w:i/>
          <w:sz w:val="20"/>
        </w:rPr>
      </w:pPr>
      <w:r>
        <w:rPr>
          <w:rFonts w:ascii="Helvetica"/>
          <w:i/>
          <w:color w:val="231F20"/>
          <w:sz w:val="20"/>
        </w:rPr>
        <w:t>This is an example using Google Voice. Your VoIP provider instructions may vary.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6"/>
        </w:rPr>
      </w:pPr>
    </w:p>
    <w:tbl>
      <w:tblPr>
        <w:tblW w:w="0" w:type="auto"/>
        <w:jc w:val="left"/>
        <w:tblInd w:w="12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900"/>
        <w:gridCol w:w="4227"/>
      </w:tblGrid>
      <w:tr>
        <w:trPr>
          <w:trHeight w:val="513" w:hRule="atLeast"/>
        </w:trPr>
        <w:tc>
          <w:tcPr>
            <w:tcW w:w="908" w:type="dxa"/>
            <w:shd w:val="clear" w:color="auto" w:fill="1C85C7"/>
          </w:tcPr>
          <w:p>
            <w:pPr>
              <w:pStyle w:val="TableParagraph"/>
              <w:ind w:left="185" w:right="17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Step</w:t>
            </w:r>
          </w:p>
        </w:tc>
        <w:tc>
          <w:tcPr>
            <w:tcW w:w="4900" w:type="dxa"/>
            <w:shd w:val="clear" w:color="auto" w:fill="1C85C7"/>
          </w:tcPr>
          <w:p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 To Do</w:t>
            </w:r>
          </w:p>
        </w:tc>
        <w:tc>
          <w:tcPr>
            <w:tcW w:w="4227" w:type="dxa"/>
            <w:shd w:val="clear" w:color="auto" w:fill="1C85C7"/>
          </w:tcPr>
          <w:p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Details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4900" w:type="dxa"/>
          </w:tcPr>
          <w:p>
            <w:pPr>
              <w:pStyle w:val="TableParagraph"/>
              <w:spacing w:before="208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Log into Google</w:t>
            </w:r>
          </w:p>
        </w:tc>
        <w:tc>
          <w:tcPr>
            <w:tcW w:w="4227" w:type="dxa"/>
          </w:tcPr>
          <w:p>
            <w:pPr>
              <w:pStyle w:val="TableParagraph"/>
              <w:spacing w:before="208"/>
              <w:ind w:left="139" w:right="96"/>
              <w:rPr>
                <w:sz w:val="24"/>
              </w:rPr>
            </w:pPr>
            <w:r>
              <w:rPr>
                <w:color w:val="231F20"/>
                <w:sz w:val="24"/>
              </w:rPr>
              <w:t>Check with your manager or admin if you don’t remember your credentials.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2"/>
              <w:rPr>
                <w:rFonts w:ascii="Helvetica"/>
                <w:i/>
                <w:sz w:val="27"/>
              </w:rPr>
            </w:pPr>
          </w:p>
          <w:p>
            <w:pPr>
              <w:pStyle w:val="TableParagraph"/>
              <w:spacing w:before="0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4900" w:type="dxa"/>
          </w:tcPr>
          <w:p>
            <w:pPr>
              <w:pStyle w:val="TableParagraph"/>
              <w:spacing w:before="141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Navigate to the Google Voice page</w:t>
            </w:r>
          </w:p>
        </w:tc>
        <w:tc>
          <w:tcPr>
            <w:tcW w:w="4227" w:type="dxa"/>
          </w:tcPr>
          <w:p>
            <w:pPr>
              <w:pStyle w:val="TableParagraph"/>
              <w:spacing w:before="141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Look for the circle with nine dots in it in the upper-right corner of your screen.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21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4900" w:type="dxa"/>
          </w:tcPr>
          <w:p>
            <w:pPr>
              <w:pStyle w:val="TableParagraph"/>
              <w:spacing w:before="107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Head to Google Voice settings</w:t>
            </w:r>
          </w:p>
        </w:tc>
        <w:tc>
          <w:tcPr>
            <w:tcW w:w="4227" w:type="dxa"/>
          </w:tcPr>
          <w:p>
            <w:pPr>
              <w:pStyle w:val="TableParagraph"/>
              <w:spacing w:line="288" w:lineRule="exact" w:before="105"/>
              <w:ind w:left="139" w:right="96"/>
              <w:rPr>
                <w:sz w:val="24"/>
              </w:rPr>
            </w:pPr>
            <w:r>
              <w:rPr>
                <w:color w:val="231F20"/>
                <w:sz w:val="24"/>
              </w:rPr>
              <w:t>Click on the Settings icon that looks like a small cog in it in the upper-right corner.</w:t>
            </w:r>
          </w:p>
        </w:tc>
      </w:tr>
      <w:tr>
        <w:trPr>
          <w:trHeight w:val="980" w:hRule="atLeast"/>
        </w:trPr>
        <w:tc>
          <w:tcPr>
            <w:tcW w:w="908" w:type="dxa"/>
          </w:tcPr>
          <w:p>
            <w:pPr>
              <w:pStyle w:val="TableParagraph"/>
              <w:spacing w:before="25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4900" w:type="dxa"/>
          </w:tcPr>
          <w:p>
            <w:pPr>
              <w:pStyle w:val="TableParagraph"/>
              <w:spacing w:before="167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Choose your voicemail transcription setting</w:t>
            </w:r>
          </w:p>
        </w:tc>
        <w:tc>
          <w:tcPr>
            <w:tcW w:w="4227" w:type="dxa"/>
          </w:tcPr>
          <w:p>
            <w:pPr>
              <w:pStyle w:val="TableParagraph"/>
              <w:spacing w:before="167"/>
              <w:ind w:left="139" w:right="-8"/>
              <w:rPr>
                <w:sz w:val="24"/>
              </w:rPr>
            </w:pPr>
            <w:r>
              <w:rPr>
                <w:color w:val="231F20"/>
                <w:sz w:val="24"/>
              </w:rPr>
              <w:t>Slide the toggle switch to “on” to receive voicemail to text messages.</w:t>
            </w:r>
          </w:p>
        </w:tc>
      </w:tr>
      <w:tr>
        <w:trPr>
          <w:trHeight w:val="979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4900" w:type="dxa"/>
          </w:tcPr>
          <w:p>
            <w:pPr>
              <w:pStyle w:val="TableParagraph"/>
              <w:spacing w:before="67"/>
              <w:ind w:left="159"/>
              <w:rPr>
                <w:sz w:val="24"/>
              </w:rPr>
            </w:pPr>
            <w:r>
              <w:rPr>
                <w:color w:val="231F20"/>
                <w:sz w:val="24"/>
              </w:rPr>
              <w:t>Exit settings to save</w:t>
            </w:r>
          </w:p>
        </w:tc>
        <w:tc>
          <w:tcPr>
            <w:tcW w:w="4227" w:type="dxa"/>
          </w:tcPr>
          <w:p>
            <w:pPr>
              <w:pStyle w:val="TableParagraph"/>
              <w:spacing w:before="67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Although you won’t receive a confirmation, your choice is automatically saved.</w:t>
            </w:r>
          </w:p>
        </w:tc>
      </w:tr>
    </w:tbl>
    <w:p>
      <w:pPr>
        <w:pStyle w:val="BodyText"/>
        <w:spacing w:before="1"/>
        <w:rPr>
          <w:i/>
          <w:sz w:val="3"/>
        </w:rPr>
      </w:pPr>
    </w:p>
    <w:p>
      <w:pPr>
        <w:pStyle w:val="BodyText"/>
        <w:ind w:left="2751"/>
        <w:rPr>
          <w:sz w:val="20"/>
        </w:rPr>
      </w:pPr>
      <w:r>
        <w:rPr>
          <w:sz w:val="20"/>
        </w:rPr>
        <w:drawing>
          <wp:inline distT="0" distB="0" distL="0" distR="0">
            <wp:extent cx="2715768" cy="497204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960" w:bottom="2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variable"/>
  </w:font>
  <w:font w:name="Myriad Pro">
    <w:altName w:val="Myriad Pro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4"/>
      <w:ind w:left="1397"/>
      <w:outlineLvl w:val="1"/>
    </w:pPr>
    <w:rPr>
      <w:rFonts w:ascii="Helvetica" w:hAnsi="Helvetica" w:eastAsia="Helvetica" w:cs="Helvetica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2"/>
    </w:pPr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Setting Up Voicemail Transcription</dc:title>
  <dcterms:created xsi:type="dcterms:W3CDTF">2019-05-27T23:09:46Z</dcterms:created>
  <dcterms:modified xsi:type="dcterms:W3CDTF">2019-05-27T23:09:46Z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2019-05-27T00:00:00Z</vt:filetime>
  </property>
</Properties>
</file>