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rPr>
      </w:pPr>
    </w:p>
    <w:p>
      <w:pPr>
        <w:spacing w:before="87"/>
        <w:ind w:left="100" w:right="0" w:firstLine="0"/>
        <w:jc w:val="left"/>
        <w:rPr>
          <w:sz w:val="40"/>
        </w:rPr>
      </w:pPr>
      <w:r>
        <w:rPr>
          <w:sz w:val="40"/>
        </w:rPr>
        <w:t>[Company Name] Expense Reimbursement Policy</w:t>
      </w:r>
    </w:p>
    <w:p>
      <w:pPr>
        <w:pStyle w:val="Heading1"/>
        <w:spacing w:before="389"/>
      </w:pPr>
      <w:r>
        <w:rPr>
          <w:color w:val="424242"/>
        </w:rPr>
        <w:t>Purpose</w:t>
      </w:r>
    </w:p>
    <w:p>
      <w:pPr>
        <w:pStyle w:val="BodyText"/>
        <w:spacing w:before="128"/>
        <w:ind w:left="100"/>
      </w:pPr>
      <w:r>
        <w:rPr/>
        <w:t>[Company name] reimburses employees for all necessary work-related expenses incurred.</w:t>
      </w:r>
    </w:p>
    <w:p>
      <w:pPr>
        <w:pStyle w:val="BodyText"/>
        <w:spacing w:before="1"/>
        <w:ind w:left="0"/>
        <w:rPr>
          <w:sz w:val="31"/>
        </w:rPr>
      </w:pPr>
    </w:p>
    <w:p>
      <w:pPr>
        <w:pStyle w:val="Heading1"/>
      </w:pPr>
      <w:r>
        <w:rPr>
          <w:color w:val="424242"/>
        </w:rPr>
        <w:t>Eligibility</w:t>
      </w:r>
    </w:p>
    <w:p>
      <w:pPr>
        <w:pStyle w:val="BodyText"/>
        <w:spacing w:before="129"/>
        <w:ind w:left="100"/>
      </w:pPr>
      <w:r>
        <w:rPr/>
        <w:t>This policy applies to all employees.</w:t>
      </w:r>
    </w:p>
    <w:p>
      <w:pPr>
        <w:pStyle w:val="BodyText"/>
        <w:spacing w:before="1"/>
        <w:ind w:left="0"/>
        <w:rPr>
          <w:sz w:val="31"/>
        </w:rPr>
      </w:pPr>
    </w:p>
    <w:p>
      <w:pPr>
        <w:pStyle w:val="Heading1"/>
      </w:pPr>
      <w:r>
        <w:rPr>
          <w:color w:val="424242"/>
        </w:rPr>
        <w:t>Covered Expenses</w:t>
      </w:r>
    </w:p>
    <w:p>
      <w:pPr>
        <w:pStyle w:val="BodyText"/>
        <w:spacing w:before="129"/>
        <w:ind w:left="100"/>
      </w:pPr>
      <w:r>
        <w:rPr/>
        <w:t>Necessary work-related expenses may include, but are not limited to:</w:t>
      </w:r>
    </w:p>
    <w:p>
      <w:pPr>
        <w:pStyle w:val="BodyText"/>
        <w:spacing w:before="6"/>
        <w:ind w:left="0"/>
        <w:rPr>
          <w:sz w:val="28"/>
        </w:rPr>
      </w:pP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2"/>
        </w:rPr>
        <w:t>Use of an employee's personal vehicle for business</w:t>
      </w:r>
      <w:r>
        <w:rPr>
          <w:spacing w:val="-15"/>
          <w:sz w:val="22"/>
        </w:rPr>
        <w:t> </w:t>
      </w:r>
      <w:r>
        <w:rPr>
          <w:sz w:val="22"/>
        </w:rPr>
        <w:t>purposes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Business travel expenses such as meals and lodging, up to a certain</w:t>
      </w:r>
      <w:r>
        <w:rPr>
          <w:spacing w:val="-30"/>
          <w:sz w:val="22"/>
        </w:rPr>
        <w:t> </w:t>
      </w:r>
      <w:r>
        <w:rPr>
          <w:sz w:val="22"/>
        </w:rPr>
        <w:t>amount</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pacing w:val="-6"/>
          <w:sz w:val="22"/>
        </w:rPr>
        <w:t>Tools </w:t>
      </w:r>
      <w:r>
        <w:rPr>
          <w:sz w:val="22"/>
        </w:rPr>
        <w:t>and equipment required to perform the employee's</w:t>
      </w:r>
      <w:r>
        <w:rPr>
          <w:spacing w:val="-7"/>
          <w:sz w:val="22"/>
        </w:rPr>
        <w:t> </w:t>
      </w:r>
      <w:r>
        <w:rPr>
          <w:sz w:val="22"/>
        </w:rPr>
        <w:t>job</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Use of an employee's personal cell phone for business</w:t>
      </w:r>
      <w:r>
        <w:rPr>
          <w:spacing w:val="-17"/>
          <w:sz w:val="22"/>
        </w:rPr>
        <w:t> </w:t>
      </w:r>
      <w:r>
        <w:rPr>
          <w:sz w:val="22"/>
        </w:rPr>
        <w:t>purposes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Required uniform purchase and</w:t>
      </w:r>
      <w:r>
        <w:rPr>
          <w:spacing w:val="-6"/>
          <w:sz w:val="22"/>
        </w:rPr>
        <w:t> </w:t>
      </w:r>
      <w:r>
        <w:rPr>
          <w:sz w:val="22"/>
        </w:rPr>
        <w:t>maintenance</w:t>
      </w:r>
    </w:p>
    <w:p>
      <w:pPr>
        <w:pStyle w:val="BodyText"/>
        <w:spacing w:before="7"/>
        <w:ind w:left="0"/>
        <w:rPr>
          <w:sz w:val="28"/>
        </w:rPr>
      </w:pPr>
    </w:p>
    <w:p>
      <w:pPr>
        <w:pStyle w:val="BodyText"/>
        <w:spacing w:line="276" w:lineRule="auto" w:before="0"/>
        <w:ind w:left="100"/>
      </w:pPr>
      <w:r>
        <w:rPr/>
        <w:t>Employees who work from home may request reimbursement for expenses incurred such as office supplies, internet access, and required equipment costs. [Company name] reserves the right to limit the maximum reimbursement amount.</w:t>
      </w:r>
    </w:p>
    <w:p>
      <w:pPr>
        <w:pStyle w:val="BodyText"/>
        <w:spacing w:before="9"/>
        <w:ind w:left="0"/>
        <w:rPr>
          <w:sz w:val="27"/>
        </w:rPr>
      </w:pPr>
    </w:p>
    <w:p>
      <w:pPr>
        <w:pStyle w:val="Heading1"/>
        <w:spacing w:before="1"/>
      </w:pPr>
      <w:r>
        <w:rPr>
          <w:color w:val="424242"/>
        </w:rPr>
        <w:t>Procedure</w:t>
      </w:r>
    </w:p>
    <w:p>
      <w:pPr>
        <w:pStyle w:val="BodyText"/>
        <w:spacing w:line="276" w:lineRule="auto" w:before="128"/>
        <w:ind w:left="100"/>
      </w:pPr>
      <w:r>
        <w:rPr/>
        <w:t>Employees who incur work-related expenses are required to submit those expenses for reimbursement as follows:</w:t>
      </w:r>
    </w:p>
    <w:p>
      <w:pPr>
        <w:pStyle w:val="BodyText"/>
        <w:spacing w:before="3"/>
        <w:ind w:left="0"/>
        <w:rPr>
          <w:sz w:val="25"/>
        </w:rPr>
      </w:pPr>
    </w:p>
    <w:p>
      <w:pPr>
        <w:pStyle w:val="ListParagraph"/>
        <w:numPr>
          <w:ilvl w:val="0"/>
          <w:numId w:val="1"/>
        </w:numPr>
        <w:tabs>
          <w:tab w:pos="819" w:val="left" w:leader="none"/>
          <w:tab w:pos="820" w:val="left" w:leader="none"/>
        </w:tabs>
        <w:spacing w:line="276" w:lineRule="auto" w:before="0" w:after="0"/>
        <w:ind w:left="820" w:right="266" w:hanging="360"/>
        <w:jc w:val="left"/>
        <w:rPr>
          <w:sz w:val="22"/>
        </w:rPr>
      </w:pPr>
      <w:r>
        <w:rPr>
          <w:sz w:val="22"/>
        </w:rPr>
        <w:t>Employees</w:t>
      </w:r>
      <w:r>
        <w:rPr>
          <w:spacing w:val="-7"/>
          <w:sz w:val="22"/>
        </w:rPr>
        <w:t> </w:t>
      </w:r>
      <w:r>
        <w:rPr>
          <w:sz w:val="22"/>
        </w:rPr>
        <w:t>must</w:t>
      </w:r>
      <w:r>
        <w:rPr>
          <w:spacing w:val="-7"/>
          <w:sz w:val="22"/>
        </w:rPr>
        <w:t> </w:t>
      </w:r>
      <w:r>
        <w:rPr>
          <w:sz w:val="22"/>
        </w:rPr>
        <w:t>complete</w:t>
      </w:r>
      <w:r>
        <w:rPr>
          <w:spacing w:val="-6"/>
          <w:sz w:val="22"/>
        </w:rPr>
        <w:t> </w:t>
      </w:r>
      <w:r>
        <w:rPr>
          <w:sz w:val="22"/>
        </w:rPr>
        <w:t>the</w:t>
      </w:r>
      <w:r>
        <w:rPr>
          <w:spacing w:val="-7"/>
          <w:sz w:val="22"/>
        </w:rPr>
        <w:t> </w:t>
      </w:r>
      <w:r>
        <w:rPr>
          <w:sz w:val="22"/>
        </w:rPr>
        <w:t>appropriate</w:t>
      </w:r>
      <w:r>
        <w:rPr>
          <w:spacing w:val="-6"/>
          <w:sz w:val="22"/>
        </w:rPr>
        <w:t> </w:t>
      </w:r>
      <w:r>
        <w:rPr>
          <w:sz w:val="22"/>
        </w:rPr>
        <w:t>expense</w:t>
      </w:r>
      <w:r>
        <w:rPr>
          <w:spacing w:val="-7"/>
          <w:sz w:val="22"/>
        </w:rPr>
        <w:t> </w:t>
      </w:r>
      <w:r>
        <w:rPr>
          <w:sz w:val="22"/>
        </w:rPr>
        <w:t>report</w:t>
      </w:r>
      <w:r>
        <w:rPr>
          <w:spacing w:val="-6"/>
          <w:sz w:val="22"/>
        </w:rPr>
        <w:t> </w:t>
      </w:r>
      <w:r>
        <w:rPr>
          <w:sz w:val="22"/>
        </w:rPr>
        <w:t>form,</w:t>
      </w:r>
      <w:r>
        <w:rPr>
          <w:spacing w:val="-7"/>
          <w:sz w:val="22"/>
        </w:rPr>
        <w:t> </w:t>
      </w:r>
      <w:r>
        <w:rPr>
          <w:sz w:val="22"/>
        </w:rPr>
        <w:t>along</w:t>
      </w:r>
      <w:r>
        <w:rPr>
          <w:spacing w:val="-7"/>
          <w:sz w:val="22"/>
        </w:rPr>
        <w:t> </w:t>
      </w:r>
      <w:r>
        <w:rPr>
          <w:sz w:val="22"/>
        </w:rPr>
        <w:t>with</w:t>
      </w:r>
      <w:r>
        <w:rPr>
          <w:spacing w:val="-6"/>
          <w:sz w:val="22"/>
        </w:rPr>
        <w:t> </w:t>
      </w:r>
      <w:r>
        <w:rPr>
          <w:sz w:val="22"/>
        </w:rPr>
        <w:t>appropriate supporting documentation such as original receipts, for all work-related</w:t>
      </w:r>
      <w:r>
        <w:rPr>
          <w:spacing w:val="-38"/>
          <w:sz w:val="22"/>
        </w:rPr>
        <w:t> </w:t>
      </w:r>
      <w:r>
        <w:rPr>
          <w:sz w:val="22"/>
        </w:rPr>
        <w:t>expenses</w:t>
      </w:r>
    </w:p>
    <w:p>
      <w:pPr>
        <w:pStyle w:val="ListParagraph"/>
        <w:numPr>
          <w:ilvl w:val="0"/>
          <w:numId w:val="1"/>
        </w:numPr>
        <w:tabs>
          <w:tab w:pos="819" w:val="left" w:leader="none"/>
          <w:tab w:pos="820" w:val="left" w:leader="none"/>
        </w:tabs>
        <w:spacing w:line="276" w:lineRule="auto" w:before="0" w:after="0"/>
        <w:ind w:left="820" w:right="547" w:hanging="360"/>
        <w:jc w:val="left"/>
        <w:rPr>
          <w:sz w:val="22"/>
        </w:rPr>
      </w:pPr>
      <w:r>
        <w:rPr>
          <w:sz w:val="22"/>
        </w:rPr>
        <w:t>Employees</w:t>
      </w:r>
      <w:r>
        <w:rPr>
          <w:spacing w:val="-6"/>
          <w:sz w:val="22"/>
        </w:rPr>
        <w:t> </w:t>
      </w:r>
      <w:r>
        <w:rPr>
          <w:sz w:val="22"/>
        </w:rPr>
        <w:t>are</w:t>
      </w:r>
      <w:r>
        <w:rPr>
          <w:spacing w:val="-6"/>
          <w:sz w:val="22"/>
        </w:rPr>
        <w:t> </w:t>
      </w:r>
      <w:r>
        <w:rPr>
          <w:sz w:val="22"/>
        </w:rPr>
        <w:t>expected</w:t>
      </w:r>
      <w:r>
        <w:rPr>
          <w:spacing w:val="-5"/>
          <w:sz w:val="22"/>
        </w:rPr>
        <w:t> </w:t>
      </w:r>
      <w:r>
        <w:rPr>
          <w:sz w:val="22"/>
        </w:rPr>
        <w:t>to</w:t>
      </w:r>
      <w:r>
        <w:rPr>
          <w:spacing w:val="-6"/>
          <w:sz w:val="22"/>
        </w:rPr>
        <w:t> </w:t>
      </w:r>
      <w:r>
        <w:rPr>
          <w:sz w:val="22"/>
        </w:rPr>
        <w:t>submit</w:t>
      </w:r>
      <w:r>
        <w:rPr>
          <w:spacing w:val="-6"/>
          <w:sz w:val="22"/>
        </w:rPr>
        <w:t> </w:t>
      </w:r>
      <w:r>
        <w:rPr>
          <w:sz w:val="22"/>
        </w:rPr>
        <w:t>reimbursement</w:t>
      </w:r>
      <w:r>
        <w:rPr>
          <w:spacing w:val="-5"/>
          <w:sz w:val="22"/>
        </w:rPr>
        <w:t> </w:t>
      </w:r>
      <w:r>
        <w:rPr>
          <w:sz w:val="22"/>
        </w:rPr>
        <w:t>requests</w:t>
      </w:r>
      <w:r>
        <w:rPr>
          <w:spacing w:val="-6"/>
          <w:sz w:val="22"/>
        </w:rPr>
        <w:t> </w:t>
      </w:r>
      <w:r>
        <w:rPr>
          <w:sz w:val="22"/>
        </w:rPr>
        <w:t>for</w:t>
      </w:r>
      <w:r>
        <w:rPr>
          <w:spacing w:val="-6"/>
          <w:sz w:val="22"/>
        </w:rPr>
        <w:t> </w:t>
      </w:r>
      <w:r>
        <w:rPr>
          <w:sz w:val="22"/>
        </w:rPr>
        <w:t>approval</w:t>
      </w:r>
      <w:r>
        <w:rPr>
          <w:spacing w:val="-5"/>
          <w:sz w:val="22"/>
        </w:rPr>
        <w:t> </w:t>
      </w:r>
      <w:r>
        <w:rPr>
          <w:sz w:val="22"/>
        </w:rPr>
        <w:t>as</w:t>
      </w:r>
      <w:r>
        <w:rPr>
          <w:spacing w:val="-6"/>
          <w:sz w:val="22"/>
        </w:rPr>
        <w:t> </w:t>
      </w:r>
      <w:r>
        <w:rPr>
          <w:sz w:val="22"/>
        </w:rPr>
        <w:t>soon</w:t>
      </w:r>
      <w:r>
        <w:rPr>
          <w:spacing w:val="-6"/>
          <w:sz w:val="22"/>
        </w:rPr>
        <w:t> </w:t>
      </w:r>
      <w:r>
        <w:rPr>
          <w:sz w:val="22"/>
        </w:rPr>
        <w:t>as practicable, no later than 14 days after the expense is</w:t>
      </w:r>
      <w:r>
        <w:rPr>
          <w:spacing w:val="-20"/>
          <w:sz w:val="22"/>
        </w:rPr>
        <w:t> </w:t>
      </w:r>
      <w:r>
        <w:rPr>
          <w:sz w:val="22"/>
        </w:rPr>
        <w:t>incurred</w:t>
      </w:r>
    </w:p>
    <w:p>
      <w:pPr>
        <w:pStyle w:val="BodyText"/>
        <w:spacing w:before="4"/>
        <w:ind w:left="0"/>
        <w:rPr>
          <w:sz w:val="25"/>
        </w:rPr>
      </w:pPr>
    </w:p>
    <w:p>
      <w:pPr>
        <w:pStyle w:val="BodyText"/>
        <w:spacing w:line="276" w:lineRule="auto" w:before="0"/>
        <w:ind w:left="100"/>
      </w:pPr>
      <w:r>
        <w:rPr/>
        <w:t>Employees who believe that the amount they have been reimbursed does not represent a complete reimbursement should immediately contact [human resources/other job title].</w:t>
      </w:r>
    </w:p>
    <w:p>
      <w:pPr>
        <w:pStyle w:val="BodyText"/>
        <w:spacing w:before="4"/>
        <w:ind w:left="0"/>
        <w:rPr>
          <w:sz w:val="24"/>
        </w:rPr>
      </w:pPr>
    </w:p>
    <w:p>
      <w:pPr>
        <w:spacing w:before="0"/>
        <w:ind w:left="100" w:right="0" w:firstLine="0"/>
        <w:jc w:val="left"/>
        <w:rPr>
          <w:sz w:val="24"/>
        </w:rPr>
      </w:pPr>
      <w:r>
        <w:rPr>
          <w:color w:val="666666"/>
          <w:sz w:val="24"/>
        </w:rPr>
        <w:t>Pre-Approval Requirements</w:t>
      </w:r>
    </w:p>
    <w:p>
      <w:pPr>
        <w:pStyle w:val="BodyText"/>
        <w:spacing w:before="121"/>
        <w:ind w:left="100"/>
      </w:pPr>
      <w:r>
        <w:rPr/>
        <w:t>[Optional section if your business requires pre-approval]</w:t>
      </w:r>
    </w:p>
    <w:p>
      <w:pPr>
        <w:pStyle w:val="BodyText"/>
        <w:spacing w:before="7"/>
        <w:ind w:left="0"/>
        <w:rPr>
          <w:sz w:val="28"/>
        </w:rPr>
      </w:pPr>
    </w:p>
    <w:p>
      <w:pPr>
        <w:pStyle w:val="BodyText"/>
        <w:spacing w:before="0"/>
        <w:ind w:left="100"/>
      </w:pPr>
      <w:r>
        <w:rPr/>
        <w:t>Certain expenses must be pre-approved. To receive reimbursement, you must receive</w:t>
      </w:r>
    </w:p>
    <w:p>
      <w:pPr>
        <w:pStyle w:val="BodyText"/>
        <w:spacing w:line="276" w:lineRule="auto"/>
        <w:ind w:left="100"/>
      </w:pPr>
      <w:r>
        <w:rPr/>
        <w:t>pre-approval from your manager or HR to make the purchase. You may do this by emailing your manager or HR with the purchase details, including price and reason for purchase. Your</w:t>
      </w:r>
    </w:p>
    <w:p>
      <w:pPr>
        <w:spacing w:after="0" w:line="276" w:lineRule="auto"/>
        <w:sectPr>
          <w:type w:val="continuous"/>
          <w:pgSz w:w="12240" w:h="15840"/>
          <w:pgMar w:top="1500" w:bottom="280" w:left="1340" w:right="1380"/>
        </w:sectPr>
      </w:pPr>
    </w:p>
    <w:p>
      <w:pPr>
        <w:pStyle w:val="BodyText"/>
        <w:spacing w:line="276" w:lineRule="auto" w:before="80"/>
        <w:ind w:left="100" w:right="23"/>
      </w:pPr>
      <w:r>
        <w:rPr/>
        <w:t>manager or HR will approve or deny the request by replying to your email. Do not make the purchase without first receiving the approval email. After making the purchase, you’ll then need to follow the procedure above to receive reimbursement.</w:t>
      </w:r>
    </w:p>
    <w:p>
      <w:pPr>
        <w:pStyle w:val="BodyText"/>
        <w:spacing w:before="3"/>
        <w:ind w:left="0"/>
        <w:rPr>
          <w:sz w:val="25"/>
        </w:rPr>
      </w:pPr>
    </w:p>
    <w:p>
      <w:pPr>
        <w:pStyle w:val="BodyText"/>
        <w:spacing w:before="0"/>
        <w:ind w:left="100"/>
      </w:pPr>
      <w:r>
        <w:rPr/>
        <w:t>The following items must receive pre-approval:</w:t>
      </w:r>
    </w:p>
    <w:p>
      <w:pPr>
        <w:pStyle w:val="BodyText"/>
        <w:spacing w:before="7"/>
        <w:ind w:left="0"/>
        <w:rPr>
          <w:sz w:val="28"/>
        </w:rPr>
      </w:pP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2"/>
        </w:rPr>
        <w:t>Airfare</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pacing w:val="-3"/>
          <w:sz w:val="22"/>
        </w:rPr>
        <w:t>Vehicle</w:t>
      </w:r>
      <w:r>
        <w:rPr>
          <w:spacing w:val="-2"/>
          <w:sz w:val="22"/>
        </w:rPr>
        <w:t> </w:t>
      </w:r>
      <w:r>
        <w:rPr>
          <w:sz w:val="22"/>
        </w:rPr>
        <w:t>rental</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Conference</w:t>
      </w:r>
      <w:r>
        <w:rPr>
          <w:spacing w:val="-2"/>
          <w:sz w:val="22"/>
        </w:rPr>
        <w:t> </w:t>
      </w:r>
      <w:r>
        <w:rPr>
          <w:sz w:val="22"/>
        </w:rPr>
        <w:t>registration</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Rail</w:t>
      </w:r>
      <w:r>
        <w:rPr>
          <w:spacing w:val="-2"/>
          <w:sz w:val="22"/>
        </w:rPr>
        <w:t> </w:t>
      </w:r>
      <w:r>
        <w:rPr>
          <w:sz w:val="22"/>
        </w:rPr>
        <w:t>transportation</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Any other expense of $100 or</w:t>
      </w:r>
      <w:r>
        <w:rPr>
          <w:spacing w:val="-8"/>
          <w:sz w:val="22"/>
        </w:rPr>
        <w:t> </w:t>
      </w:r>
      <w:r>
        <w:rPr>
          <w:sz w:val="22"/>
        </w:rPr>
        <w:t>more</w:t>
      </w:r>
    </w:p>
    <w:p>
      <w:pPr>
        <w:pStyle w:val="BodyText"/>
        <w:spacing w:before="1"/>
        <w:ind w:left="0"/>
        <w:rPr>
          <w:sz w:val="31"/>
        </w:rPr>
      </w:pPr>
    </w:p>
    <w:p>
      <w:pPr>
        <w:pStyle w:val="Heading1"/>
      </w:pPr>
      <w:r>
        <w:rPr>
          <w:color w:val="424242"/>
        </w:rPr>
        <w:t>Examples of Non-Approved Expenses</w:t>
      </w:r>
    </w:p>
    <w:p>
      <w:pPr>
        <w:pStyle w:val="BodyText"/>
        <w:spacing w:line="276" w:lineRule="auto" w:before="129"/>
        <w:ind w:left="100"/>
      </w:pPr>
      <w:r>
        <w:rPr/>
        <w:t>The following list provides examples of expenses which will not be reimbursed. This list is not exhaustive, so if you’re in doubt, it’s best to seek pre-approval.</w:t>
      </w:r>
    </w:p>
    <w:p>
      <w:pPr>
        <w:pStyle w:val="BodyText"/>
        <w:spacing w:before="3"/>
        <w:ind w:left="0"/>
        <w:rPr>
          <w:sz w:val="25"/>
        </w:rPr>
      </w:pP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2"/>
        </w:rPr>
        <w:t>Alcohol</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First class</w:t>
      </w:r>
      <w:r>
        <w:rPr>
          <w:spacing w:val="-3"/>
          <w:sz w:val="22"/>
        </w:rPr>
        <w:t> </w:t>
      </w:r>
      <w:r>
        <w:rPr>
          <w:sz w:val="22"/>
        </w:rPr>
        <w:t>airfare</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Entertainment</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Regular commuting</w:t>
      </w:r>
      <w:r>
        <w:rPr>
          <w:spacing w:val="-3"/>
          <w:sz w:val="22"/>
        </w:rPr>
        <w:t> </w:t>
      </w:r>
      <w:r>
        <w:rPr>
          <w:sz w:val="22"/>
        </w:rPr>
        <w:t>expenses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Membership</w:t>
      </w:r>
      <w:r>
        <w:rPr>
          <w:spacing w:val="-2"/>
          <w:sz w:val="22"/>
        </w:rPr>
        <w:t> </w:t>
      </w:r>
      <w:r>
        <w:rPr>
          <w:sz w:val="22"/>
        </w:rPr>
        <w:t>fees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Regular</w:t>
      </w:r>
      <w:r>
        <w:rPr>
          <w:spacing w:val="-2"/>
          <w:sz w:val="22"/>
        </w:rPr>
        <w:t> </w:t>
      </w:r>
      <w:r>
        <w:rPr>
          <w:sz w:val="22"/>
        </w:rPr>
        <w:t>meals</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Cell</w:t>
      </w:r>
      <w:r>
        <w:rPr>
          <w:spacing w:val="-2"/>
          <w:sz w:val="22"/>
        </w:rPr>
        <w:t> </w:t>
      </w:r>
      <w:r>
        <w:rPr>
          <w:sz w:val="22"/>
        </w:rPr>
        <w:t>phone</w:t>
      </w:r>
    </w:p>
    <w:p>
      <w:pPr>
        <w:pStyle w:val="ListParagraph"/>
        <w:numPr>
          <w:ilvl w:val="0"/>
          <w:numId w:val="1"/>
        </w:numPr>
        <w:tabs>
          <w:tab w:pos="819" w:val="left" w:leader="none"/>
          <w:tab w:pos="820" w:val="left" w:leader="none"/>
        </w:tabs>
        <w:spacing w:line="240" w:lineRule="auto" w:before="38" w:after="0"/>
        <w:ind w:left="820" w:right="0" w:hanging="360"/>
        <w:jc w:val="left"/>
        <w:rPr>
          <w:sz w:val="22"/>
        </w:rPr>
      </w:pPr>
      <w:r>
        <w:rPr>
          <w:sz w:val="22"/>
        </w:rPr>
        <w:t>Any personal</w:t>
      </w:r>
      <w:r>
        <w:rPr>
          <w:spacing w:val="-3"/>
          <w:sz w:val="22"/>
        </w:rPr>
        <w:t> </w:t>
      </w:r>
      <w:r>
        <w:rPr>
          <w:sz w:val="22"/>
        </w:rPr>
        <w:t>items</w:t>
      </w:r>
    </w:p>
    <w:sectPr>
      <w:pgSz w:w="12240" w:h="15840"/>
      <w:pgMar w:top="136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spacing w:val="-1"/>
        <w:w w:val="100"/>
        <w:sz w:val="22"/>
        <w:szCs w:val="22"/>
      </w:rPr>
    </w:lvl>
    <w:lvl w:ilvl="1">
      <w:start w:val="0"/>
      <w:numFmt w:val="bullet"/>
      <w:lvlText w:val="•"/>
      <w:lvlJc w:val="left"/>
      <w:pPr>
        <w:ind w:left="1690" w:hanging="360"/>
      </w:pPr>
      <w:rPr>
        <w:rFonts w:hint="default"/>
      </w:rPr>
    </w:lvl>
    <w:lvl w:ilvl="2">
      <w:start w:val="0"/>
      <w:numFmt w:val="bullet"/>
      <w:lvlText w:val="•"/>
      <w:lvlJc w:val="left"/>
      <w:pPr>
        <w:ind w:left="2560" w:hanging="360"/>
      </w:pPr>
      <w:rPr>
        <w:rFonts w:hint="default"/>
      </w:rPr>
    </w:lvl>
    <w:lvl w:ilvl="3">
      <w:start w:val="0"/>
      <w:numFmt w:val="bullet"/>
      <w:lvlText w:val="•"/>
      <w:lvlJc w:val="left"/>
      <w:pPr>
        <w:ind w:left="3430" w:hanging="360"/>
      </w:pPr>
      <w:rPr>
        <w:rFonts w:hint="default"/>
      </w:rPr>
    </w:lvl>
    <w:lvl w:ilvl="4">
      <w:start w:val="0"/>
      <w:numFmt w:val="bullet"/>
      <w:lvlText w:val="•"/>
      <w:lvlJc w:val="left"/>
      <w:pPr>
        <w:ind w:left="4300" w:hanging="360"/>
      </w:pPr>
      <w:rPr>
        <w:rFonts w:hint="default"/>
      </w:rPr>
    </w:lvl>
    <w:lvl w:ilvl="5">
      <w:start w:val="0"/>
      <w:numFmt w:val="bullet"/>
      <w:lvlText w:val="•"/>
      <w:lvlJc w:val="left"/>
      <w:pPr>
        <w:ind w:left="5170" w:hanging="360"/>
      </w:pPr>
      <w:rPr>
        <w:rFonts w:hint="default"/>
      </w:rPr>
    </w:lvl>
    <w:lvl w:ilvl="6">
      <w:start w:val="0"/>
      <w:numFmt w:val="bullet"/>
      <w:lvlText w:val="•"/>
      <w:lvlJc w:val="left"/>
      <w:pPr>
        <w:ind w:left="6040" w:hanging="360"/>
      </w:pPr>
      <w:rPr>
        <w:rFonts w:hint="default"/>
      </w:rPr>
    </w:lvl>
    <w:lvl w:ilvl="7">
      <w:start w:val="0"/>
      <w:numFmt w:val="bullet"/>
      <w:lvlText w:val="•"/>
      <w:lvlJc w:val="left"/>
      <w:pPr>
        <w:ind w:left="6910" w:hanging="360"/>
      </w:pPr>
      <w:rPr>
        <w:rFonts w:hint="default"/>
      </w:rPr>
    </w:lvl>
    <w:lvl w:ilvl="8">
      <w:start w:val="0"/>
      <w:numFmt w:val="bullet"/>
      <w:lvlText w:val="•"/>
      <w:lvlJc w:val="left"/>
      <w:pPr>
        <w:ind w:left="77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38"/>
      <w:ind w:left="820"/>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sz w:val="28"/>
      <w:szCs w:val="28"/>
    </w:rPr>
  </w:style>
  <w:style w:styleId="ListParagraph" w:type="paragraph">
    <w:name w:val="List Paragraph"/>
    <w:basedOn w:val="Normal"/>
    <w:uiPriority w:val="1"/>
    <w:qFormat/>
    <w:pPr>
      <w:spacing w:before="38"/>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 Reimbursement Policy - FSB</dc:title>
  <dcterms:created xsi:type="dcterms:W3CDTF">2023-03-30T09:42:06Z</dcterms:created>
  <dcterms:modified xsi:type="dcterms:W3CDTF">2023-03-30T09:42:06Z</dcterms:modified>
</cp:coreProperties>
</file>