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060" w:right="0" w:hanging="855"/>
        <w:jc w:val="left"/>
        <w:rPr>
          <w:b/>
          <w:sz w:val="44"/>
        </w:rPr>
      </w:pPr>
      <w:r>
        <w:rPr>
          <w:b/>
          <w:color w:val="375E91"/>
          <w:sz w:val="44"/>
        </w:rPr>
        <w:t>Employee Assistance Program (EAP) Policy: For Employees and Family Members</w:t>
      </w:r>
    </w:p>
    <w:p>
      <w:pPr>
        <w:pStyle w:val="BodyText"/>
        <w:spacing w:before="11"/>
        <w:rPr>
          <w:b/>
          <w:sz w:val="65"/>
        </w:rPr>
      </w:pPr>
    </w:p>
    <w:p>
      <w:pPr>
        <w:pStyle w:val="Heading1"/>
      </w:pPr>
      <w:r>
        <w:rPr>
          <w:color w:val="404040"/>
        </w:rPr>
        <w:t>Policy</w:t>
      </w:r>
    </w:p>
    <w:p>
      <w:pPr>
        <w:pStyle w:val="BodyText"/>
        <w:spacing w:line="360" w:lineRule="auto" w:before="161"/>
        <w:ind w:left="205" w:right="166"/>
      </w:pPr>
      <w:r>
        <w:rPr>
          <w:color w:val="404040"/>
          <w:spacing w:val="-62"/>
          <w:shd w:fill="FFFF00" w:color="auto" w:val="clear"/>
        </w:rPr>
        <w:t>[</w:t>
      </w:r>
      <w:r>
        <w:rPr>
          <w:color w:val="404040"/>
          <w:spacing w:val="2"/>
          <w:shd w:fill="FFFF00" w:color="auto" w:val="clear"/>
        </w:rPr>
        <w:t> </w:t>
      </w:r>
      <w:r>
        <w:rPr>
          <w:color w:val="404040"/>
          <w:shd w:fill="FFFF00" w:color="auto" w:val="clear"/>
        </w:rPr>
        <w:t>Company Name]</w:t>
      </w:r>
      <w:r>
        <w:rPr>
          <w:color w:val="404040"/>
        </w:rPr>
        <w:t> (the Company) provides confidential, </w:t>
      </w:r>
      <w:r>
        <w:rPr>
          <w:color w:val="404040"/>
          <w:spacing w:val="-3"/>
        </w:rPr>
        <w:t>voluntary, </w:t>
      </w:r>
      <w:r>
        <w:rPr>
          <w:color w:val="404040"/>
        </w:rPr>
        <w:t>and free-of-charge assistance through our employee assistance program (EAP) to all employees and their family members. Use of the EAP may be due to challenges of stress, </w:t>
      </w:r>
      <w:r>
        <w:rPr>
          <w:color w:val="404040"/>
          <w:spacing w:val="-3"/>
        </w:rPr>
        <w:t>anxiety, </w:t>
      </w:r>
      <w:r>
        <w:rPr>
          <w:color w:val="404040"/>
        </w:rPr>
        <w:t>financial concerns, legal issues, workplace harassment, alcohol or drug problems, marital problems, illness of a family </w:t>
      </w:r>
      <w:r>
        <w:rPr>
          <w:color w:val="404040"/>
          <w:spacing w:val="-3"/>
        </w:rPr>
        <w:t>member, </w:t>
      </w:r>
      <w:r>
        <w:rPr>
          <w:color w:val="404040"/>
        </w:rPr>
        <w:t>emotional worries, child care problems,</w:t>
      </w:r>
      <w:r>
        <w:rPr>
          <w:color w:val="404040"/>
          <w:spacing w:val="-6"/>
        </w:rPr>
        <w:t> </w:t>
      </w:r>
      <w:r>
        <w:rPr>
          <w:color w:val="404040"/>
        </w:rPr>
        <w:t>etc.</w:t>
      </w:r>
    </w:p>
    <w:p>
      <w:pPr>
        <w:pStyle w:val="BodyText"/>
        <w:spacing w:line="360" w:lineRule="auto" w:before="161"/>
        <w:ind w:left="100" w:right="966" w:firstLine="61"/>
      </w:pPr>
      <w:r>
        <w:rPr>
          <w:color w:val="404040"/>
        </w:rPr>
        <w:t>It is essential that each employee at the Company takes care of their overall health and well-being. As such, we encourage taking advantage of this valuable benefit.</w:t>
      </w:r>
    </w:p>
    <w:p>
      <w:pPr>
        <w:pStyle w:val="BodyText"/>
        <w:spacing w:before="11"/>
        <w:rPr>
          <w:sz w:val="35"/>
        </w:rPr>
      </w:pPr>
    </w:p>
    <w:p>
      <w:pPr>
        <w:pStyle w:val="Heading1"/>
      </w:pPr>
      <w:r>
        <w:rPr>
          <w:color w:val="404040"/>
        </w:rPr>
        <w:t>Procedures</w:t>
      </w:r>
    </w:p>
    <w:p>
      <w:pPr>
        <w:pStyle w:val="BodyText"/>
        <w:spacing w:line="360" w:lineRule="auto" w:before="162"/>
        <w:ind w:left="205" w:right="605"/>
        <w:jc w:val="both"/>
      </w:pPr>
      <w:r>
        <w:rPr>
          <w:color w:val="404040"/>
        </w:rPr>
        <w:t>Employees, their family members, colleagues, and supervisors can refer team members to the </w:t>
      </w:r>
      <w:r>
        <w:rPr>
          <w:color w:val="404040"/>
          <w:spacing w:val="-8"/>
        </w:rPr>
        <w:t>EAP. </w:t>
      </w:r>
      <w:r>
        <w:rPr>
          <w:color w:val="404040"/>
        </w:rPr>
        <w:t>The program is available 24 hours a day/7 days a week. Contact information is as follows:</w:t>
      </w:r>
    </w:p>
    <w:p>
      <w:pPr>
        <w:spacing w:before="92"/>
        <w:ind w:left="205" w:right="0" w:firstLine="0"/>
        <w:jc w:val="left"/>
        <w:rPr>
          <w:i/>
          <w:sz w:val="24"/>
        </w:rPr>
      </w:pPr>
      <w:r>
        <w:rPr>
          <w:color w:val="404040"/>
          <w:spacing w:val="-67"/>
          <w:sz w:val="24"/>
          <w:shd w:fill="FFFF00" w:color="auto" w:val="clear"/>
        </w:rPr>
        <w:t>[</w:t>
      </w:r>
      <w:r>
        <w:rPr>
          <w:color w:val="404040"/>
          <w:spacing w:val="-1"/>
          <w:sz w:val="24"/>
          <w:shd w:fill="FFFF00" w:color="auto" w:val="clear"/>
        </w:rPr>
        <w:t> </w:t>
      </w:r>
      <w:r>
        <w:rPr>
          <w:i/>
          <w:color w:val="404040"/>
          <w:sz w:val="24"/>
          <w:shd w:fill="FFFF00" w:color="auto" w:val="clear"/>
        </w:rPr>
        <w:t>Insert EAP contact information, website, and a short write-up on what the EAP offers</w:t>
      </w:r>
    </w:p>
    <w:p>
      <w:pPr>
        <w:spacing w:before="138"/>
        <w:ind w:left="205" w:right="0" w:firstLine="0"/>
        <w:jc w:val="left"/>
        <w:rPr>
          <w:sz w:val="24"/>
        </w:rPr>
      </w:pPr>
      <w:r>
        <w:rPr>
          <w:i/>
          <w:color w:val="404040"/>
          <w:spacing w:val="-134"/>
          <w:sz w:val="24"/>
          <w:shd w:fill="FFFF00" w:color="auto" w:val="clear"/>
        </w:rPr>
        <w:t>a</w:t>
      </w:r>
      <w:r>
        <w:rPr>
          <w:i/>
          <w:color w:val="404040"/>
          <w:spacing w:val="70"/>
          <w:sz w:val="24"/>
        </w:rPr>
        <w:t> </w:t>
      </w:r>
      <w:r>
        <w:rPr>
          <w:i/>
          <w:color w:val="404040"/>
          <w:sz w:val="24"/>
          <w:shd w:fill="FFFF00" w:color="auto" w:val="clear"/>
        </w:rPr>
        <w:t>nd</w:t>
      </w:r>
      <w:r>
        <w:rPr>
          <w:i/>
          <w:color w:val="404040"/>
          <w:sz w:val="24"/>
        </w:rPr>
        <w:t> </w:t>
      </w:r>
      <w:r>
        <w:rPr>
          <w:i/>
          <w:color w:val="404040"/>
          <w:spacing w:val="-174"/>
          <w:sz w:val="24"/>
          <w:shd w:fill="FFFF00" w:color="auto" w:val="clear"/>
        </w:rPr>
        <w:t>w</w:t>
      </w:r>
      <w:r>
        <w:rPr>
          <w:i/>
          <w:color w:val="404040"/>
          <w:spacing w:val="110"/>
          <w:sz w:val="24"/>
        </w:rPr>
        <w:t> </w:t>
      </w:r>
      <w:r>
        <w:rPr>
          <w:i/>
          <w:color w:val="404040"/>
          <w:sz w:val="24"/>
          <w:shd w:fill="FFFF00" w:color="auto" w:val="clear"/>
        </w:rPr>
        <w:t>ho they are</w:t>
      </w:r>
      <w:r>
        <w:rPr>
          <w:color w:val="404040"/>
          <w:sz w:val="24"/>
          <w:shd w:fill="FFFF00" w:color="auto" w:val="clear"/>
        </w:rPr>
        <w:t>]</w:t>
      </w:r>
    </w:p>
    <w:p>
      <w:pPr>
        <w:pStyle w:val="BodyText"/>
        <w:rPr>
          <w:sz w:val="20"/>
        </w:rPr>
      </w:pPr>
    </w:p>
    <w:p>
      <w:pPr>
        <w:pStyle w:val="BodyText"/>
        <w:rPr>
          <w:sz w:val="20"/>
        </w:rPr>
      </w:pPr>
    </w:p>
    <w:p>
      <w:pPr>
        <w:spacing w:before="91"/>
        <w:ind w:left="205" w:right="0" w:firstLine="0"/>
        <w:jc w:val="left"/>
        <w:rPr>
          <w:b/>
          <w:sz w:val="28"/>
        </w:rPr>
      </w:pPr>
      <w:r>
        <w:rPr>
          <w:b/>
          <w:color w:val="404040"/>
          <w:sz w:val="28"/>
        </w:rPr>
        <w:t>Contacting EAP Counselors</w:t>
      </w:r>
    </w:p>
    <w:p>
      <w:pPr>
        <w:pStyle w:val="BodyText"/>
        <w:spacing w:line="360" w:lineRule="auto" w:before="162"/>
        <w:ind w:left="205" w:right="88"/>
      </w:pPr>
      <w:r>
        <w:rPr>
          <w:color w:val="404040"/>
        </w:rPr>
        <w:t>EAP counselors are available to meet with employees and/or their family members, typically over the phone, to assess a problem and develop a resolution plan. Counselors or other EAP professionals that you contact may suggest a referral to an outside resource–therapist, agency, physician, treatment facility, legal counsel, or other professional.</w:t>
      </w:r>
    </w:p>
    <w:p>
      <w:pPr>
        <w:pStyle w:val="BodyText"/>
        <w:spacing w:before="1"/>
        <w:rPr>
          <w:sz w:val="33"/>
        </w:rPr>
      </w:pPr>
    </w:p>
    <w:p>
      <w:pPr>
        <w:pStyle w:val="BodyText"/>
        <w:spacing w:line="360" w:lineRule="auto"/>
        <w:ind w:left="205" w:right="88"/>
      </w:pPr>
      <w:r>
        <w:rPr>
          <w:color w:val="404040"/>
        </w:rPr>
        <w:t>There is no charge for employees or their families to use the confidential services of the EAP. The EAP counselors will make every effort to coordinate referrals for ongoing treatment with the employee's health insurance coverage as well as with their ability to pay.</w:t>
      </w:r>
    </w:p>
    <w:p>
      <w:pPr>
        <w:spacing w:after="0" w:line="360" w:lineRule="auto"/>
        <w:sectPr>
          <w:footerReference w:type="default" r:id="rId5"/>
          <w:type w:val="continuous"/>
          <w:pgSz w:w="12240" w:h="15840"/>
          <w:pgMar w:footer="1122" w:top="1380" w:bottom="1320" w:left="1240" w:right="1360"/>
        </w:sectPr>
      </w:pPr>
    </w:p>
    <w:p>
      <w:pPr>
        <w:pStyle w:val="BodyText"/>
        <w:rPr>
          <w:sz w:val="20"/>
        </w:rPr>
      </w:pPr>
    </w:p>
    <w:p>
      <w:pPr>
        <w:pStyle w:val="BodyText"/>
        <w:spacing w:before="8"/>
        <w:rPr>
          <w:sz w:val="16"/>
        </w:rPr>
      </w:pPr>
    </w:p>
    <w:p>
      <w:pPr>
        <w:pStyle w:val="Heading1"/>
        <w:spacing w:before="91"/>
      </w:pPr>
      <w:r>
        <w:rPr>
          <w:color w:val="404040"/>
        </w:rPr>
        <w:t>Utilizing EAP Services During Work Hours</w:t>
      </w:r>
    </w:p>
    <w:p>
      <w:pPr>
        <w:pStyle w:val="BodyText"/>
        <w:spacing w:line="360" w:lineRule="auto" w:before="161"/>
        <w:ind w:left="205" w:right="108"/>
        <w:jc w:val="both"/>
      </w:pPr>
      <w:r>
        <w:rPr>
          <w:color w:val="404040"/>
        </w:rPr>
        <w:t>In most cases, an EAP visit that is urgent or cannot be scheduled outside of work will be treated similarly</w:t>
      </w:r>
      <w:r>
        <w:rPr>
          <w:color w:val="404040"/>
          <w:spacing w:val="-6"/>
        </w:rPr>
        <w:t> </w:t>
      </w:r>
      <w:r>
        <w:rPr>
          <w:color w:val="404040"/>
        </w:rPr>
        <w:t>to</w:t>
      </w:r>
      <w:r>
        <w:rPr>
          <w:color w:val="404040"/>
          <w:spacing w:val="-6"/>
        </w:rPr>
        <w:t> </w:t>
      </w:r>
      <w:r>
        <w:rPr>
          <w:color w:val="404040"/>
        </w:rPr>
        <w:t>how</w:t>
      </w:r>
      <w:r>
        <w:rPr>
          <w:color w:val="404040"/>
          <w:spacing w:val="-6"/>
        </w:rPr>
        <w:t> </w:t>
      </w:r>
      <w:r>
        <w:rPr>
          <w:color w:val="404040"/>
        </w:rPr>
        <w:t>the</w:t>
      </w:r>
      <w:r>
        <w:rPr>
          <w:color w:val="404040"/>
          <w:spacing w:val="-6"/>
        </w:rPr>
        <w:t> </w:t>
      </w:r>
      <w:r>
        <w:rPr>
          <w:color w:val="404040"/>
        </w:rPr>
        <w:t>Company</w:t>
      </w:r>
      <w:r>
        <w:rPr>
          <w:color w:val="404040"/>
          <w:spacing w:val="-6"/>
        </w:rPr>
        <w:t> </w:t>
      </w:r>
      <w:r>
        <w:rPr>
          <w:color w:val="404040"/>
        </w:rPr>
        <w:t>treats</w:t>
      </w:r>
      <w:r>
        <w:rPr>
          <w:color w:val="404040"/>
          <w:spacing w:val="-6"/>
        </w:rPr>
        <w:t> </w:t>
      </w:r>
      <w:r>
        <w:rPr>
          <w:color w:val="404040"/>
        </w:rPr>
        <w:t>other</w:t>
      </w:r>
      <w:r>
        <w:rPr>
          <w:color w:val="404040"/>
          <w:spacing w:val="-6"/>
        </w:rPr>
        <w:t> </w:t>
      </w:r>
      <w:r>
        <w:rPr>
          <w:color w:val="404040"/>
        </w:rPr>
        <w:t>doctor's</w:t>
      </w:r>
      <w:r>
        <w:rPr>
          <w:color w:val="404040"/>
          <w:spacing w:val="-6"/>
        </w:rPr>
        <w:t> </w:t>
      </w:r>
      <w:r>
        <w:rPr>
          <w:color w:val="404040"/>
        </w:rPr>
        <w:t>appointments.</w:t>
      </w:r>
      <w:r>
        <w:rPr>
          <w:color w:val="404040"/>
          <w:spacing w:val="-6"/>
        </w:rPr>
        <w:t> </w:t>
      </w:r>
      <w:r>
        <w:rPr>
          <w:color w:val="404040"/>
        </w:rPr>
        <w:t>Please</w:t>
      </w:r>
      <w:r>
        <w:rPr>
          <w:color w:val="404040"/>
          <w:spacing w:val="-6"/>
        </w:rPr>
        <w:t> </w:t>
      </w:r>
      <w:r>
        <w:rPr>
          <w:color w:val="404040"/>
        </w:rPr>
        <w:t>refer</w:t>
      </w:r>
      <w:r>
        <w:rPr>
          <w:color w:val="404040"/>
          <w:spacing w:val="-6"/>
        </w:rPr>
        <w:t> </w:t>
      </w:r>
      <w:r>
        <w:rPr>
          <w:color w:val="404040"/>
        </w:rPr>
        <w:t>to</w:t>
      </w:r>
      <w:r>
        <w:rPr>
          <w:color w:val="404040"/>
          <w:spacing w:val="-5"/>
        </w:rPr>
        <w:t> </w:t>
      </w:r>
      <w:r>
        <w:rPr>
          <w:color w:val="404040"/>
        </w:rPr>
        <w:t>the</w:t>
      </w:r>
      <w:r>
        <w:rPr>
          <w:color w:val="404040"/>
          <w:spacing w:val="-6"/>
        </w:rPr>
        <w:t> </w:t>
      </w:r>
      <w:r>
        <w:rPr>
          <w:color w:val="404040"/>
        </w:rPr>
        <w:t>Company’s time off and sick time</w:t>
      </w:r>
      <w:r>
        <w:rPr>
          <w:color w:val="404040"/>
          <w:spacing w:val="-7"/>
        </w:rPr>
        <w:t> </w:t>
      </w:r>
      <w:r>
        <w:rPr>
          <w:color w:val="404040"/>
        </w:rPr>
        <w:t>procedures.</w:t>
      </w:r>
    </w:p>
    <w:p>
      <w:pPr>
        <w:pStyle w:val="BodyText"/>
        <w:spacing w:before="11"/>
        <w:rPr>
          <w:sz w:val="35"/>
        </w:rPr>
      </w:pPr>
    </w:p>
    <w:p>
      <w:pPr>
        <w:pStyle w:val="Heading1"/>
      </w:pPr>
      <w:r>
        <w:rPr>
          <w:color w:val="404040"/>
        </w:rPr>
        <w:t>Mandatory EAP Referrals</w:t>
      </w:r>
    </w:p>
    <w:p>
      <w:pPr>
        <w:pStyle w:val="BodyText"/>
        <w:spacing w:line="360" w:lineRule="auto" w:before="162"/>
        <w:ind w:left="205" w:right="456"/>
      </w:pPr>
      <w:r>
        <w:rPr>
          <w:color w:val="404040"/>
        </w:rPr>
        <w:t>When an employee's job performance or attendance is unsatisfactory, or there appears to be signs of other problems impacting the employee’s work performance, the supervisor may counsel</w:t>
      </w:r>
      <w:r>
        <w:rPr>
          <w:color w:val="404040"/>
          <w:spacing w:val="-6"/>
        </w:rPr>
        <w:t> </w:t>
      </w:r>
      <w:r>
        <w:rPr>
          <w:color w:val="404040"/>
        </w:rPr>
        <w:t>the</w:t>
      </w:r>
      <w:r>
        <w:rPr>
          <w:color w:val="404040"/>
          <w:spacing w:val="-6"/>
        </w:rPr>
        <w:t> </w:t>
      </w:r>
      <w:r>
        <w:rPr>
          <w:color w:val="404040"/>
        </w:rPr>
        <w:t>employee</w:t>
      </w:r>
      <w:r>
        <w:rPr>
          <w:color w:val="404040"/>
          <w:spacing w:val="-6"/>
        </w:rPr>
        <w:t> </w:t>
      </w:r>
      <w:r>
        <w:rPr>
          <w:color w:val="404040"/>
        </w:rPr>
        <w:t>in</w:t>
      </w:r>
      <w:r>
        <w:rPr>
          <w:color w:val="404040"/>
          <w:spacing w:val="-6"/>
        </w:rPr>
        <w:t> </w:t>
      </w:r>
      <w:r>
        <w:rPr>
          <w:color w:val="404040"/>
        </w:rPr>
        <w:t>consultation</w:t>
      </w:r>
      <w:r>
        <w:rPr>
          <w:color w:val="404040"/>
          <w:spacing w:val="-6"/>
        </w:rPr>
        <w:t> </w:t>
      </w:r>
      <w:r>
        <w:rPr>
          <w:color w:val="404040"/>
        </w:rPr>
        <w:t>with</w:t>
      </w:r>
      <w:r>
        <w:rPr>
          <w:color w:val="404040"/>
          <w:spacing w:val="-6"/>
        </w:rPr>
        <w:t> </w:t>
      </w:r>
      <w:r>
        <w:rPr>
          <w:color w:val="404040"/>
        </w:rPr>
        <w:t>human</w:t>
      </w:r>
      <w:r>
        <w:rPr>
          <w:color w:val="404040"/>
          <w:spacing w:val="-6"/>
        </w:rPr>
        <w:t> </w:t>
      </w:r>
      <w:r>
        <w:rPr>
          <w:color w:val="404040"/>
        </w:rPr>
        <w:t>resources.</w:t>
      </w:r>
      <w:r>
        <w:rPr>
          <w:color w:val="404040"/>
          <w:spacing w:val="-9"/>
        </w:rPr>
        <w:t> </w:t>
      </w:r>
      <w:r>
        <w:rPr>
          <w:color w:val="404040"/>
        </w:rPr>
        <w:t>The</w:t>
      </w:r>
      <w:r>
        <w:rPr>
          <w:color w:val="404040"/>
          <w:spacing w:val="-6"/>
        </w:rPr>
        <w:t> </w:t>
      </w:r>
      <w:r>
        <w:rPr>
          <w:color w:val="404040"/>
        </w:rPr>
        <w:t>outcome</w:t>
      </w:r>
      <w:r>
        <w:rPr>
          <w:color w:val="404040"/>
          <w:spacing w:val="-6"/>
        </w:rPr>
        <w:t> </w:t>
      </w:r>
      <w:r>
        <w:rPr>
          <w:color w:val="404040"/>
        </w:rPr>
        <w:t>of</w:t>
      </w:r>
      <w:r>
        <w:rPr>
          <w:color w:val="404040"/>
          <w:spacing w:val="-6"/>
        </w:rPr>
        <w:t> </w:t>
      </w:r>
      <w:r>
        <w:rPr>
          <w:color w:val="404040"/>
        </w:rPr>
        <w:t>this</w:t>
      </w:r>
      <w:r>
        <w:rPr>
          <w:color w:val="404040"/>
          <w:spacing w:val="-6"/>
        </w:rPr>
        <w:t> </w:t>
      </w:r>
      <w:r>
        <w:rPr>
          <w:color w:val="404040"/>
        </w:rPr>
        <w:t>counseling may include a mandatory referral to the Company’s EAP</w:t>
      </w:r>
      <w:r>
        <w:rPr>
          <w:color w:val="404040"/>
          <w:spacing w:val="-21"/>
        </w:rPr>
        <w:t> </w:t>
      </w:r>
      <w:r>
        <w:rPr>
          <w:color w:val="404040"/>
        </w:rPr>
        <w:t>services.</w:t>
      </w:r>
    </w:p>
    <w:p>
      <w:pPr>
        <w:pStyle w:val="BodyText"/>
        <w:spacing w:before="1"/>
        <w:rPr>
          <w:sz w:val="33"/>
        </w:rPr>
      </w:pPr>
    </w:p>
    <w:p>
      <w:pPr>
        <w:pStyle w:val="BodyText"/>
        <w:spacing w:line="360" w:lineRule="auto"/>
        <w:ind w:left="205" w:right="426"/>
        <w:jc w:val="both"/>
      </w:pPr>
      <w:r>
        <w:rPr>
          <w:color w:val="404040"/>
          <w:spacing w:val="-3"/>
        </w:rPr>
        <w:t>Typically </w:t>
      </w:r>
      <w:r>
        <w:rPr>
          <w:color w:val="404040"/>
        </w:rPr>
        <w:t>an employee may accept or refuse participation in the </w:t>
      </w:r>
      <w:r>
        <w:rPr>
          <w:color w:val="404040"/>
          <w:spacing w:val="-8"/>
        </w:rPr>
        <w:t>EAP. </w:t>
      </w:r>
      <w:r>
        <w:rPr>
          <w:color w:val="404040"/>
          <w:spacing w:val="-3"/>
        </w:rPr>
        <w:t>However, </w:t>
      </w:r>
      <w:r>
        <w:rPr>
          <w:color w:val="404040"/>
        </w:rPr>
        <w:t>there may be situations</w:t>
      </w:r>
      <w:r>
        <w:rPr>
          <w:color w:val="404040"/>
          <w:spacing w:val="-6"/>
        </w:rPr>
        <w:t> </w:t>
      </w:r>
      <w:r>
        <w:rPr>
          <w:color w:val="404040"/>
        </w:rPr>
        <w:t>where</w:t>
      </w:r>
      <w:r>
        <w:rPr>
          <w:color w:val="404040"/>
          <w:spacing w:val="-5"/>
        </w:rPr>
        <w:t> </w:t>
      </w:r>
      <w:r>
        <w:rPr>
          <w:color w:val="404040"/>
        </w:rPr>
        <w:t>a</w:t>
      </w:r>
      <w:r>
        <w:rPr>
          <w:color w:val="404040"/>
          <w:spacing w:val="-5"/>
        </w:rPr>
        <w:t> </w:t>
      </w:r>
      <w:r>
        <w:rPr>
          <w:color w:val="404040"/>
        </w:rPr>
        <w:t>condition</w:t>
      </w:r>
      <w:r>
        <w:rPr>
          <w:color w:val="404040"/>
          <w:spacing w:val="-6"/>
        </w:rPr>
        <w:t> </w:t>
      </w:r>
      <w:r>
        <w:rPr>
          <w:color w:val="404040"/>
        </w:rPr>
        <w:t>of</w:t>
      </w:r>
      <w:r>
        <w:rPr>
          <w:color w:val="404040"/>
          <w:spacing w:val="-5"/>
        </w:rPr>
        <w:t> </w:t>
      </w:r>
      <w:r>
        <w:rPr>
          <w:color w:val="404040"/>
        </w:rPr>
        <w:t>continued</w:t>
      </w:r>
      <w:r>
        <w:rPr>
          <w:color w:val="404040"/>
          <w:spacing w:val="-5"/>
        </w:rPr>
        <w:t> </w:t>
      </w:r>
      <w:r>
        <w:rPr>
          <w:color w:val="404040"/>
        </w:rPr>
        <w:t>employment</w:t>
      </w:r>
      <w:r>
        <w:rPr>
          <w:color w:val="404040"/>
          <w:spacing w:val="-6"/>
        </w:rPr>
        <w:t> </w:t>
      </w:r>
      <w:r>
        <w:rPr>
          <w:color w:val="404040"/>
        </w:rPr>
        <w:t>at</w:t>
      </w:r>
      <w:r>
        <w:rPr>
          <w:color w:val="404040"/>
          <w:spacing w:val="-5"/>
        </w:rPr>
        <w:t> </w:t>
      </w:r>
      <w:r>
        <w:rPr>
          <w:color w:val="404040"/>
        </w:rPr>
        <w:t>the</w:t>
      </w:r>
      <w:r>
        <w:rPr>
          <w:color w:val="404040"/>
          <w:spacing w:val="-5"/>
        </w:rPr>
        <w:t> </w:t>
      </w:r>
      <w:r>
        <w:rPr>
          <w:color w:val="404040"/>
        </w:rPr>
        <w:t>Company</w:t>
      </w:r>
      <w:r>
        <w:rPr>
          <w:color w:val="404040"/>
          <w:spacing w:val="-6"/>
        </w:rPr>
        <w:t> </w:t>
      </w:r>
      <w:r>
        <w:rPr>
          <w:color w:val="404040"/>
        </w:rPr>
        <w:t>may</w:t>
      </w:r>
      <w:r>
        <w:rPr>
          <w:color w:val="404040"/>
          <w:spacing w:val="-5"/>
        </w:rPr>
        <w:t> </w:t>
      </w:r>
      <w:r>
        <w:rPr>
          <w:color w:val="404040"/>
        </w:rPr>
        <w:t>be</w:t>
      </w:r>
      <w:r>
        <w:rPr>
          <w:color w:val="404040"/>
          <w:spacing w:val="-5"/>
        </w:rPr>
        <w:t> </w:t>
      </w:r>
      <w:r>
        <w:rPr>
          <w:color w:val="404040"/>
        </w:rPr>
        <w:t>contingent</w:t>
      </w:r>
      <w:r>
        <w:rPr>
          <w:color w:val="404040"/>
          <w:spacing w:val="-5"/>
        </w:rPr>
        <w:t> </w:t>
      </w:r>
      <w:r>
        <w:rPr>
          <w:color w:val="404040"/>
        </w:rPr>
        <w:t>on the employee contacting the EAP for assistance or similar</w:t>
      </w:r>
      <w:r>
        <w:rPr>
          <w:color w:val="404040"/>
          <w:spacing w:val="-22"/>
        </w:rPr>
        <w:t> </w:t>
      </w:r>
      <w:r>
        <w:rPr>
          <w:color w:val="404040"/>
        </w:rPr>
        <w:t>services.</w:t>
      </w:r>
    </w:p>
    <w:p>
      <w:pPr>
        <w:pStyle w:val="BodyText"/>
        <w:spacing w:before="11"/>
        <w:rPr>
          <w:sz w:val="32"/>
        </w:rPr>
      </w:pPr>
    </w:p>
    <w:p>
      <w:pPr>
        <w:pStyle w:val="BodyText"/>
        <w:spacing w:line="360" w:lineRule="auto"/>
        <w:ind w:left="205"/>
      </w:pPr>
      <w:r>
        <w:rPr>
          <w:color w:val="404040"/>
        </w:rPr>
        <w:t>Voluntary participation in EAP services will never jeopardize an employee’s job security or promotional opportunities. However, performance and behaviors in the workplace must always abide by Company policies and procedures. Employees will be required to meet performance standards for satisfactory job performance except where specific accommodations are required by law.</w:t>
      </w:r>
    </w:p>
    <w:p>
      <w:pPr>
        <w:pStyle w:val="BodyText"/>
        <w:spacing w:before="10"/>
        <w:rPr>
          <w:sz w:val="35"/>
        </w:rPr>
      </w:pPr>
    </w:p>
    <w:p>
      <w:pPr>
        <w:pStyle w:val="Heading1"/>
      </w:pPr>
      <w:r>
        <w:rPr>
          <w:color w:val="404040"/>
        </w:rPr>
        <w:t>Confidentiality</w:t>
      </w:r>
    </w:p>
    <w:p>
      <w:pPr>
        <w:pStyle w:val="BodyText"/>
        <w:spacing w:line="360" w:lineRule="auto" w:before="164"/>
        <w:ind w:left="205"/>
      </w:pPr>
      <w:r>
        <w:rPr>
          <w:color w:val="404040"/>
        </w:rPr>
        <w:t>All contact between our employees and the EAP is strictly confidential. In cases of a mandatory EAP referral, the EAP counselor will only verify whether the employee has contacted the EAP. Information given to the EAP counselor may be released to the Company only if requested or approved by the employee in writing.</w:t>
      </w:r>
    </w:p>
    <w:sectPr>
      <w:pgSz w:w="12240" w:h="15840"/>
      <w:pgMar w:header="0" w:footer="1122" w:top="1500" w:bottom="1320" w:left="12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94752">
          <wp:simplePos x="0" y="0"/>
          <wp:positionH relativeFrom="page">
            <wp:posOffset>3937000</wp:posOffset>
          </wp:positionH>
          <wp:positionV relativeFrom="page">
            <wp:posOffset>9219057</wp:posOffset>
          </wp:positionV>
          <wp:extent cx="2781300" cy="3714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81300" cy="371475"/>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05"/>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Policy</dc:title>
  <dcterms:created xsi:type="dcterms:W3CDTF">2023-02-21T19:01:05Z</dcterms:created>
  <dcterms:modified xsi:type="dcterms:W3CDTF">2023-02-21T19:01:05Z</dcterms:modified>
</cp:coreProperties>
</file>