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South Carolina</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the federal level, you need to apply for an employee identification number (EIN) and register for an account in the </w:t>
            </w:r>
            <w:hyperlink r:id="rId6">
              <w:r w:rsidDel="00000000" w:rsidR="00000000" w:rsidRPr="00000000">
                <w:rPr>
                  <w:color w:val="1155cc"/>
                  <w:u w:val="single"/>
                  <w:rtl w:val="0"/>
                </w:rPr>
                <w:t xml:space="preserve">Electronic Federal Tax Payment System (EFTPS)</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South Carolina.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can register for a withholding account online through the </w:t>
            </w:r>
            <w:hyperlink r:id="rId7">
              <w:r w:rsidDel="00000000" w:rsidR="00000000" w:rsidRPr="00000000">
                <w:rPr>
                  <w:color w:val="1155cc"/>
                  <w:u w:val="single"/>
                  <w:rtl w:val="0"/>
                </w:rPr>
                <w:t xml:space="preserve">SC Department of Revenue</w:t>
              </w:r>
            </w:hyperlink>
            <w:r w:rsidDel="00000000" w:rsidR="00000000" w:rsidRPr="00000000">
              <w:rPr>
                <w:rtl w:val="0"/>
              </w:rPr>
              <w:t xml:space="preserve">. </w:t>
            </w:r>
            <w:r w:rsidDel="00000000" w:rsidR="00000000" w:rsidRPr="00000000">
              <w:rPr>
                <w:rtl w:val="0"/>
              </w:rPr>
              <w:t xml:space="preserve">You will receive your South Carolina withholding file number and tax deposit schedule within 24 hours after registering online. You’ll also need to register for an unemployment tax account. You can register online via the </w:t>
            </w:r>
            <w:hyperlink r:id="rId8">
              <w:r w:rsidDel="00000000" w:rsidR="00000000" w:rsidRPr="00000000">
                <w:rPr>
                  <w:color w:val="1155cc"/>
                  <w:u w:val="single"/>
                  <w:rtl w:val="0"/>
                </w:rPr>
                <w:t xml:space="preserve">SC Department of Employment and Workforce</w:t>
              </w:r>
            </w:hyperlink>
            <w:r w:rsidDel="00000000" w:rsidR="00000000" w:rsidRPr="00000000">
              <w:rPr>
                <w:rtl w:val="0"/>
              </w:rPr>
              <w:t xml:space="preserve">. You will receive a seven-digit South Carolina State Tax ID and an unemployment tax rate in the mail two to three weeks after registering.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Register for a withholding account online through the </w:t>
            </w:r>
            <w:hyperlink r:id="rId9">
              <w:r w:rsidDel="00000000" w:rsidR="00000000" w:rsidRPr="00000000">
                <w:rPr>
                  <w:color w:val="1155cc"/>
                  <w:u w:val="single"/>
                  <w:rtl w:val="0"/>
                </w:rPr>
                <w:t xml:space="preserve">SC Department of Revenue</w:t>
              </w:r>
            </w:hyperlink>
            <w:r w:rsidDel="00000000" w:rsidR="00000000" w:rsidRPr="00000000">
              <w:rPr>
                <w:rtl w:val="0"/>
              </w:rPr>
              <w:t xml:space="preserve">. </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Register for an unemployment tax account.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6">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t xml:space="preserve">Set up your payroll. Whether you’re going to do payroll yourself or </w:t>
            </w:r>
            <w:r w:rsidDel="00000000" w:rsidR="00000000" w:rsidRPr="00000000">
              <w:rPr>
                <w:rtl w:val="0"/>
              </w:rPr>
              <w:t xml:space="preserve">use a payroll</w:t>
            </w:r>
            <w:r w:rsidDel="00000000" w:rsidR="00000000" w:rsidRPr="00000000">
              <w:rPr>
                <w:rtl w:val="0"/>
              </w:rPr>
              <w:t xml:space="preserve"> software, you’ll need to determine a payroll process that works best for your business and is compliant with the rules and regulations in South Carolina. This includes deciding when and </w:t>
            </w:r>
            <w:hyperlink r:id="rId10">
              <w:r w:rsidDel="00000000" w:rsidR="00000000" w:rsidRPr="00000000">
                <w:rPr>
                  <w:color w:val="1155cc"/>
                  <w:u w:val="single"/>
                  <w:rtl w:val="0"/>
                </w:rPr>
                <w:t xml:space="preserve">how you’ll pay employees</w:t>
              </w:r>
            </w:hyperlink>
            <w:r w:rsidDel="00000000" w:rsidR="00000000" w:rsidRPr="00000000">
              <w:rPr>
                <w:rtl w:val="0"/>
              </w:rPr>
              <w:t xml:space="preserve">, how you’ll collect and submit payroll forms when necessary, how and when to verify employee time worked, etc. Select one:</w:t>
            </w:r>
            <w:r w:rsidDel="00000000" w:rsidR="00000000" w:rsidRPr="00000000">
              <w:rPr>
                <w:rtl w:val="0"/>
              </w:rPr>
            </w:r>
          </w:p>
          <w:p w:rsidR="00000000" w:rsidDel="00000000" w:rsidP="00000000" w:rsidRDefault="00000000" w:rsidRPr="00000000" w14:paraId="00000018">
            <w:pPr>
              <w:numPr>
                <w:ilvl w:val="0"/>
                <w:numId w:val="2"/>
              </w:numPr>
              <w:shd w:fill="ffffff" w:val="clear"/>
              <w:spacing w:after="0" w:afterAutospacing="0" w:before="240" w:lineRule="auto"/>
              <w:ind w:left="720" w:hanging="36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9">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2">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A">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13">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D">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E">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South Carolina employees will include:</w:t>
            </w:r>
          </w:p>
          <w:p w:rsidR="00000000" w:rsidDel="00000000" w:rsidP="00000000" w:rsidRDefault="00000000" w:rsidRPr="00000000" w14:paraId="0000001F">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20">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South Carolina State Form </w:t>
            </w:r>
            <w:hyperlink r:id="rId15">
              <w:r w:rsidDel="00000000" w:rsidR="00000000" w:rsidRPr="00000000">
                <w:rPr>
                  <w:color w:val="1155cc"/>
                  <w:u w:val="single"/>
                  <w:rtl w:val="0"/>
                </w:rPr>
                <w:t xml:space="preserve">SC W-4</w:t>
              </w:r>
            </w:hyperlink>
            <w:r w:rsidDel="00000000" w:rsidR="00000000" w:rsidRPr="00000000">
              <w:rPr>
                <w:rtl w:val="0"/>
              </w:rPr>
            </w:r>
          </w:p>
          <w:p w:rsidR="00000000" w:rsidDel="00000000" w:rsidP="00000000" w:rsidRDefault="00000000" w:rsidRPr="00000000" w14:paraId="00000021">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22">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3">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6">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tl w:val="0"/>
              </w:rPr>
              <w:t xml:space="preserve">South Carolina law states that regular paydays need to be established and provided to all employees in writing upon hire. To be sure your team is always paid on time to remain in compliance, make sure to collect and approve timecards a couple of days before payday.</w:t>
            </w:r>
            <w:r w:rsidDel="00000000" w:rsidR="00000000" w:rsidRPr="00000000">
              <w:rPr>
                <w:rtl w:val="0"/>
              </w:rPr>
            </w:r>
          </w:p>
          <w:p w:rsidR="00000000" w:rsidDel="00000000" w:rsidP="00000000" w:rsidRDefault="00000000" w:rsidRPr="00000000" w14:paraId="00000028">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Establish regular paydays</w:t>
            </w:r>
          </w:p>
          <w:p w:rsidR="00000000" w:rsidDel="00000000" w:rsidP="00000000" w:rsidRDefault="00000000" w:rsidRPr="00000000" w14:paraId="00000029">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8">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A">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9">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B">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b w:val="1"/>
                <w:rtl w:val="0"/>
              </w:rPr>
              <w:t xml:space="preserve">Step 6: Calculate employee gross pay and taxes and pay employees.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There are many ways to </w:t>
            </w:r>
            <w:hyperlink r:id="rId20">
              <w:r w:rsidDel="00000000" w:rsidR="00000000" w:rsidRPr="00000000">
                <w:rPr>
                  <w:color w:val="1155cc"/>
                  <w:u w:val="single"/>
                  <w:rtl w:val="0"/>
                </w:rPr>
                <w:t xml:space="preserve">calculate payroll</w:t>
              </w:r>
            </w:hyperlink>
            <w:r w:rsidDel="00000000" w:rsidR="00000000" w:rsidRPr="00000000">
              <w:rPr>
                <w:rtl w:val="0"/>
              </w:rPr>
              <w:t xml:space="preserve">, and it’s up to you to decide which is best for your business. You can use </w:t>
            </w:r>
            <w:hyperlink r:id="rId21">
              <w:r w:rsidDel="00000000" w:rsidR="00000000" w:rsidRPr="00000000">
                <w:rPr>
                  <w:color w:val="1155cc"/>
                  <w:u w:val="single"/>
                  <w:rtl w:val="0"/>
                </w:rPr>
                <w:t xml:space="preserve">payroll software</w:t>
              </w:r>
            </w:hyperlink>
            <w:r w:rsidDel="00000000" w:rsidR="00000000" w:rsidRPr="00000000">
              <w:rPr>
                <w:rtl w:val="0"/>
              </w:rPr>
              <w:t xml:space="preserve">, a calculator (use our </w:t>
            </w:r>
            <w:hyperlink r:id="rId22">
              <w:r w:rsidDel="00000000" w:rsidR="00000000" w:rsidRPr="00000000">
                <w:rPr>
                  <w:color w:val="1155cc"/>
                  <w:u w:val="single"/>
                  <w:rtl w:val="0"/>
                </w:rPr>
                <w:t xml:space="preserve">free time card calculator</w:t>
              </w:r>
            </w:hyperlink>
            <w:r w:rsidDel="00000000" w:rsidR="00000000" w:rsidRPr="00000000">
              <w:rPr>
                <w:rtl w:val="0"/>
              </w:rPr>
              <w:t xml:space="preserve"> to do some basic time calculations), or even Excel (we have a </w:t>
            </w:r>
            <w:hyperlink r:id="rId23">
              <w:r w:rsidDel="00000000" w:rsidR="00000000" w:rsidRPr="00000000">
                <w:rPr>
                  <w:color w:val="1155cc"/>
                  <w:u w:val="single"/>
                  <w:rtl w:val="0"/>
                </w:rPr>
                <w:t xml:space="preserve">free template</w:t>
              </w:r>
            </w:hyperlink>
            <w:r w:rsidDel="00000000" w:rsidR="00000000" w:rsidRPr="00000000">
              <w:rPr>
                <w:rtl w:val="0"/>
              </w:rPr>
              <w:t xml:space="preserve">).</w:t>
            </w:r>
          </w:p>
          <w:p w:rsidR="00000000" w:rsidDel="00000000" w:rsidP="00000000" w:rsidRDefault="00000000" w:rsidRPr="00000000" w14:paraId="00000030">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31">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32">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33">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34">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b w:val="1"/>
              </w:rPr>
            </w:pPr>
            <w:r w:rsidDel="00000000" w:rsidR="00000000" w:rsidRPr="00000000">
              <w:rPr>
                <w:b w:val="1"/>
                <w:rtl w:val="0"/>
              </w:rPr>
              <w:t xml:space="preserve">Step 7: File payroll taxes with the federal government.</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To remit withholdings, follow the schedule below. (The IRS will assign you the schedule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ind w:left="720" w:hanging="360"/>
              <w:rPr>
                <w:u w:val="none"/>
              </w:rPr>
            </w:pPr>
            <w:r w:rsidDel="00000000" w:rsidR="00000000" w:rsidRPr="00000000">
              <w:rPr>
                <w:b w:val="1"/>
                <w:rtl w:val="0"/>
              </w:rPr>
              <w:t xml:space="preserve">Monthly Depositor: </w:t>
            </w:r>
            <w:r w:rsidDel="00000000" w:rsidR="00000000" w:rsidRPr="00000000">
              <w:rPr>
                <w:rtl w:val="0"/>
              </w:rPr>
              <w:t xml:space="preserve">Deposit employment taxes on payments made during a month by the 15th day of the following month. </w:t>
            </w:r>
          </w:p>
          <w:p w:rsidR="00000000" w:rsidDel="00000000" w:rsidP="00000000" w:rsidRDefault="00000000" w:rsidRPr="00000000" w14:paraId="0000003B">
            <w:pPr>
              <w:numPr>
                <w:ilvl w:val="0"/>
                <w:numId w:val="3"/>
              </w:numPr>
              <w:ind w:left="720" w:hanging="360"/>
            </w:pPr>
            <w:r w:rsidDel="00000000" w:rsidR="00000000" w:rsidRPr="00000000">
              <w:rPr>
                <w:b w:val="1"/>
                <w:rtl w:val="0"/>
              </w:rPr>
              <w:t xml:space="preserve">Semiweekly Depositor:</w:t>
            </w:r>
            <w:r w:rsidDel="00000000" w:rsidR="00000000" w:rsidRPr="00000000">
              <w:rPr>
                <w:rtl w:val="0"/>
              </w:rPr>
              <w:t xml:space="preserve"> Deposit employment taxes for payments made Wednesday, Thursday, and/or Friday by the following Wednesday. Deposit taxes for payments made Saturday, Sunday, Monday, and/or Tuesday by the following Friday.</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Quarterly reporting (everyone) by filing </w:t>
            </w:r>
            <w:hyperlink r:id="rId24">
              <w:r w:rsidDel="00000000" w:rsidR="00000000" w:rsidRPr="00000000">
                <w:rPr>
                  <w:color w:val="1155cc"/>
                  <w:u w:val="single"/>
                  <w:rtl w:val="0"/>
                </w:rPr>
                <w:t xml:space="preserve">Form 941</w:t>
              </w:r>
            </w:hyperlink>
            <w:r w:rsidDel="00000000" w:rsidR="00000000" w:rsidRPr="00000000">
              <w:rPr>
                <w:rtl w:val="0"/>
              </w:rPr>
              <w:t xml:space="preserve"> or </w:t>
            </w:r>
            <w:hyperlink r:id="rId25">
              <w:r w:rsidDel="00000000" w:rsidR="00000000" w:rsidRPr="00000000">
                <w:rPr>
                  <w:color w:val="1155cc"/>
                  <w:u w:val="single"/>
                  <w:rtl w:val="0"/>
                </w:rPr>
                <w:t xml:space="preserve">Form 944</w:t>
              </w:r>
            </w:hyperlink>
            <w:r w:rsidDel="00000000" w:rsidR="00000000" w:rsidRPr="00000000">
              <w:rPr>
                <w:rtl w:val="0"/>
              </w:rPr>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Annual reporting (everyone) by filing </w:t>
            </w:r>
            <w:hyperlink r:id="rId26">
              <w:r w:rsidDel="00000000" w:rsidR="00000000" w:rsidRPr="00000000">
                <w:rPr>
                  <w:color w:val="1155cc"/>
                  <w:u w:val="single"/>
                  <w:rtl w:val="0"/>
                </w:rPr>
                <w:t xml:space="preserve">Form 941</w:t>
              </w:r>
            </w:hyperlink>
            <w:r w:rsidDel="00000000" w:rsidR="00000000" w:rsidRPr="00000000">
              <w:rPr>
                <w:rtl w:val="0"/>
              </w:rPr>
              <w:t xml:space="preserve"> or </w:t>
            </w:r>
            <w:hyperlink r:id="rId27">
              <w:r w:rsidDel="00000000" w:rsidR="00000000" w:rsidRPr="00000000">
                <w:rPr>
                  <w:color w:val="1155cc"/>
                  <w:u w:val="single"/>
                  <w:rtl w:val="0"/>
                </w:rPr>
                <w:t xml:space="preserve">Form 944</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b w:val="1"/>
                <w:rtl w:val="0"/>
              </w:rPr>
              <w:t xml:space="preserve">Step 8: File payroll taxes with the state of South Carolina.</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Filings are due on a quarterly basis and payments are due either quarterly or monthly based on how much is withheld. Returns and payments can be sent via mail to the appropriate </w:t>
            </w:r>
            <w:hyperlink r:id="rId28">
              <w:r w:rsidDel="00000000" w:rsidR="00000000" w:rsidRPr="00000000">
                <w:rPr>
                  <w:color w:val="1155cc"/>
                  <w:u w:val="single"/>
                  <w:rtl w:val="0"/>
                </w:rPr>
                <w:t xml:space="preserve">mailing address</w:t>
              </w:r>
            </w:hyperlink>
            <w:r w:rsidDel="00000000" w:rsidR="00000000" w:rsidRPr="00000000">
              <w:rPr>
                <w:rtl w:val="0"/>
              </w:rPr>
              <w:t xml:space="preserve"> or filed electronically via the </w:t>
            </w:r>
            <w:hyperlink r:id="rId29">
              <w:r w:rsidDel="00000000" w:rsidR="00000000" w:rsidRPr="00000000">
                <w:rPr>
                  <w:color w:val="1155cc"/>
                  <w:u w:val="single"/>
                  <w:rtl w:val="0"/>
                </w:rPr>
                <w:t xml:space="preserve">MyDORWAY</w:t>
              </w:r>
            </w:hyperlink>
            <w:r w:rsidDel="00000000" w:rsidR="00000000" w:rsidRPr="00000000">
              <w:rPr>
                <w:rtl w:val="0"/>
              </w:rPr>
              <w:t xml:space="preserve"> website. Employers who withhold $15,000 of more per quarter or who make 24 or more withholding payments in a year must file and pay electronically.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
              </w:numPr>
              <w:ind w:left="720" w:hanging="360"/>
            </w:pPr>
            <w:r w:rsidDel="00000000" w:rsidR="00000000" w:rsidRPr="00000000">
              <w:rPr>
                <w:b w:val="1"/>
                <w:rtl w:val="0"/>
              </w:rPr>
              <w:t xml:space="preserve">Monthly Depositor: </w:t>
            </w:r>
            <w:r w:rsidDel="00000000" w:rsidR="00000000" w:rsidRPr="00000000">
              <w:rPr>
                <w:rtl w:val="0"/>
              </w:rPr>
              <w:t xml:space="preserve">Total withholding amount is </w:t>
            </w:r>
            <w:r w:rsidDel="00000000" w:rsidR="00000000" w:rsidRPr="00000000">
              <w:rPr>
                <w:b w:val="1"/>
                <w:rtl w:val="0"/>
              </w:rPr>
              <w:t xml:space="preserve">more than $500 per quarter</w:t>
            </w:r>
            <w:r w:rsidDel="00000000" w:rsidR="00000000" w:rsidRPr="00000000">
              <w:rPr>
                <w:rtl w:val="0"/>
              </w:rPr>
              <w:t xml:space="preserve">. Deposit employment taxes on payments made during a month by the 15th day of the following month. </w:t>
            </w:r>
          </w:p>
          <w:p w:rsidR="00000000" w:rsidDel="00000000" w:rsidP="00000000" w:rsidRDefault="00000000" w:rsidRPr="00000000" w14:paraId="00000044">
            <w:pPr>
              <w:numPr>
                <w:ilvl w:val="0"/>
                <w:numId w:val="3"/>
              </w:numPr>
              <w:ind w:left="720" w:hanging="360"/>
            </w:pPr>
            <w:r w:rsidDel="00000000" w:rsidR="00000000" w:rsidRPr="00000000">
              <w:rPr>
                <w:b w:val="1"/>
                <w:rtl w:val="0"/>
              </w:rPr>
              <w:t xml:space="preserve">Semiweekly Depositor:</w:t>
            </w:r>
            <w:r w:rsidDel="00000000" w:rsidR="00000000" w:rsidRPr="00000000">
              <w:rPr>
                <w:rtl w:val="0"/>
              </w:rPr>
              <w:t xml:space="preserve"> Total withholding amount is </w:t>
            </w:r>
            <w:r w:rsidDel="00000000" w:rsidR="00000000" w:rsidRPr="00000000">
              <w:rPr>
                <w:b w:val="1"/>
                <w:rtl w:val="0"/>
              </w:rPr>
              <w:t xml:space="preserve">more than $500 per quarter</w:t>
            </w:r>
            <w:r w:rsidDel="00000000" w:rsidR="00000000" w:rsidRPr="00000000">
              <w:rPr>
                <w:rtl w:val="0"/>
              </w:rPr>
              <w:t xml:space="preserve">. Deposit by the last day of the month following the end of the quarter – payments are due quarterly.</w:t>
            </w:r>
          </w:p>
          <w:p w:rsidR="00000000" w:rsidDel="00000000" w:rsidP="00000000" w:rsidRDefault="00000000" w:rsidRPr="00000000" w14:paraId="00000045">
            <w:pPr>
              <w:numPr>
                <w:ilvl w:val="0"/>
                <w:numId w:val="3"/>
              </w:numPr>
              <w:ind w:left="720" w:hanging="360"/>
            </w:pPr>
            <w:r w:rsidDel="00000000" w:rsidR="00000000" w:rsidRPr="00000000">
              <w:rPr>
                <w:b w:val="1"/>
                <w:rtl w:val="0"/>
              </w:rPr>
              <w:t xml:space="preserve">Q1 report:</w:t>
            </w:r>
            <w:r w:rsidDel="00000000" w:rsidR="00000000" w:rsidRPr="00000000">
              <w:rPr>
                <w:rtl w:val="0"/>
              </w:rPr>
              <w:t xml:space="preserve"> April 30</w:t>
            </w:r>
          </w:p>
          <w:p w:rsidR="00000000" w:rsidDel="00000000" w:rsidP="00000000" w:rsidRDefault="00000000" w:rsidRPr="00000000" w14:paraId="00000046">
            <w:pPr>
              <w:numPr>
                <w:ilvl w:val="0"/>
                <w:numId w:val="3"/>
              </w:numPr>
              <w:ind w:left="720" w:hanging="360"/>
            </w:pPr>
            <w:r w:rsidDel="00000000" w:rsidR="00000000" w:rsidRPr="00000000">
              <w:rPr>
                <w:b w:val="1"/>
                <w:rtl w:val="0"/>
              </w:rPr>
              <w:t xml:space="preserve">Q2 report:</w:t>
            </w:r>
            <w:r w:rsidDel="00000000" w:rsidR="00000000" w:rsidRPr="00000000">
              <w:rPr>
                <w:rtl w:val="0"/>
              </w:rPr>
              <w:t xml:space="preserve"> July 31</w:t>
            </w:r>
          </w:p>
          <w:p w:rsidR="00000000" w:rsidDel="00000000" w:rsidP="00000000" w:rsidRDefault="00000000" w:rsidRPr="00000000" w14:paraId="00000047">
            <w:pPr>
              <w:numPr>
                <w:ilvl w:val="0"/>
                <w:numId w:val="3"/>
              </w:numPr>
              <w:ind w:left="720" w:hanging="360"/>
              <w:rPr>
                <w:u w:val="none"/>
              </w:rPr>
            </w:pPr>
            <w:r w:rsidDel="00000000" w:rsidR="00000000" w:rsidRPr="00000000">
              <w:rPr>
                <w:b w:val="1"/>
                <w:rtl w:val="0"/>
              </w:rPr>
              <w:t xml:space="preserve">Q3 report:</w:t>
            </w:r>
            <w:r w:rsidDel="00000000" w:rsidR="00000000" w:rsidRPr="00000000">
              <w:rPr>
                <w:rtl w:val="0"/>
              </w:rPr>
              <w:t xml:space="preserve"> Oct 31</w:t>
            </w:r>
          </w:p>
          <w:p w:rsidR="00000000" w:rsidDel="00000000" w:rsidP="00000000" w:rsidRDefault="00000000" w:rsidRPr="00000000" w14:paraId="00000048">
            <w:pPr>
              <w:numPr>
                <w:ilvl w:val="0"/>
                <w:numId w:val="3"/>
              </w:numPr>
              <w:ind w:left="720" w:hanging="360"/>
            </w:pPr>
            <w:r w:rsidDel="00000000" w:rsidR="00000000" w:rsidRPr="00000000">
              <w:rPr>
                <w:b w:val="1"/>
                <w:rtl w:val="0"/>
              </w:rPr>
              <w:t xml:space="preserve">Q4 &amp; Annual report:</w:t>
            </w:r>
            <w:r w:rsidDel="00000000" w:rsidR="00000000" w:rsidRPr="00000000">
              <w:rPr>
                <w:rtl w:val="0"/>
              </w:rPr>
              <w:t xml:space="preserve"> Jan 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As with any business record, you want to make sure you have a copy for at least three years. </w:t>
            </w:r>
          </w:p>
          <w:p w:rsidR="00000000" w:rsidDel="00000000" w:rsidP="00000000" w:rsidRDefault="00000000" w:rsidRPr="00000000" w14:paraId="0000004D">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b w:val="1"/>
              </w:rPr>
            </w:pPr>
            <w:r w:rsidDel="00000000" w:rsidR="00000000" w:rsidRPr="00000000">
              <w:rPr>
                <w:b w:val="1"/>
                <w:rtl w:val="0"/>
              </w:rPr>
              <w:t xml:space="preserve">Step 10: Do year-end payroll tax reports.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Distribute federal </w:t>
            </w:r>
            <w:hyperlink r:id="rId30">
              <w:r w:rsidDel="00000000" w:rsidR="00000000" w:rsidRPr="00000000">
                <w:rPr>
                  <w:color w:val="1155cc"/>
                  <w:u w:val="single"/>
                  <w:rtl w:val="0"/>
                </w:rPr>
                <w:t xml:space="preserve">Forms W-2</w:t>
              </w:r>
            </w:hyperlink>
            <w:r w:rsidDel="00000000" w:rsidR="00000000" w:rsidRPr="00000000">
              <w:rPr>
                <w:rtl w:val="0"/>
              </w:rPr>
              <w:t xml:space="preserve">  and </w:t>
            </w:r>
            <w:hyperlink r:id="rId31">
              <w:r w:rsidDel="00000000" w:rsidR="00000000" w:rsidRPr="00000000">
                <w:rPr>
                  <w:color w:val="1155cc"/>
                  <w:u w:val="single"/>
                  <w:rtl w:val="0"/>
                </w:rPr>
                <w:t xml:space="preserve">1099</w:t>
              </w:r>
            </w:hyperlink>
            <w:r w:rsidDel="00000000" w:rsidR="00000000" w:rsidRPr="00000000">
              <w:rPr>
                <w:rtl w:val="0"/>
              </w:rPr>
              <w:t xml:space="preserve"> forms (for employees)  by Jan 31 </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File federal W-2/W-3 and 1098/1099 forms with IRS by Jan. 31; if you have &lt;250 employees, you can file by Feb. 28</w:t>
            </w: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tc>
      </w:tr>
    </w:tbl>
    <w:p w:rsidR="00000000" w:rsidDel="00000000" w:rsidP="00000000" w:rsidRDefault="00000000" w:rsidRPr="00000000" w14:paraId="00000054">
      <w:pPr>
        <w:jc w:val="center"/>
        <w:rPr/>
      </w:pPr>
      <w:r w:rsidDel="00000000" w:rsidR="00000000" w:rsidRPr="00000000">
        <w:rPr>
          <w:rtl w:val="0"/>
        </w:rPr>
      </w:r>
    </w:p>
    <w:sectPr>
      <w:footerReference r:id="rId3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how-to-calculate-payroll/" TargetMode="External"/><Relationship Id="rId22" Type="http://schemas.openxmlformats.org/officeDocument/2006/relationships/hyperlink" Target="https://fitsmallbusiness.com/time-card-calculator/" TargetMode="External"/><Relationship Id="rId21" Type="http://schemas.openxmlformats.org/officeDocument/2006/relationships/hyperlink" Target="https://fitsmallbusiness.com/best-payroll-software-reviews/" TargetMode="External"/><Relationship Id="rId24" Type="http://schemas.openxmlformats.org/officeDocument/2006/relationships/hyperlink" Target="https://fitsmallbusiness.com/how-to-fill-out-form-941/" TargetMode="External"/><Relationship Id="rId23" Type="http://schemas.openxmlformats.org/officeDocument/2006/relationships/hyperlink" Target="https://fitsmallbusiness.com/how-to-do-payroll-in-exc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dorway.dor.sc.gov/_/" TargetMode="External"/><Relationship Id="rId26" Type="http://schemas.openxmlformats.org/officeDocument/2006/relationships/hyperlink" Target="https://fitsmallbusiness.com/how-to-fill-out-form-941/" TargetMode="External"/><Relationship Id="rId25" Type="http://schemas.openxmlformats.org/officeDocument/2006/relationships/hyperlink" Target="https://fitsmallbusiness.com/form-944/" TargetMode="External"/><Relationship Id="rId28" Type="http://schemas.openxmlformats.org/officeDocument/2006/relationships/hyperlink" Target="https://dor.sc.gov/tax/withholding" TargetMode="External"/><Relationship Id="rId27" Type="http://schemas.openxmlformats.org/officeDocument/2006/relationships/hyperlink" Target="https://fitsmallbusiness.com/form-944/"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mydorway.dor.sc.gov/_/" TargetMode="External"/><Relationship Id="rId7" Type="http://schemas.openxmlformats.org/officeDocument/2006/relationships/hyperlink" Target="https://mydorway.dor.sc.gov/_/" TargetMode="External"/><Relationship Id="rId8" Type="http://schemas.openxmlformats.org/officeDocument/2006/relationships/hyperlink" Target="https://uitax.dew.sc.gov/" TargetMode="External"/><Relationship Id="rId31" Type="http://schemas.openxmlformats.org/officeDocument/2006/relationships/hyperlink" Target="https://fitsmallbusiness.com/form-1099-reporting/" TargetMode="External"/><Relationship Id="rId30" Type="http://schemas.openxmlformats.org/officeDocument/2006/relationships/hyperlink" Target="https://www.irs.gov/pub/irs-pdf/fw2.pdf" TargetMode="External"/><Relationship Id="rId11" Type="http://schemas.openxmlformats.org/officeDocument/2006/relationships/hyperlink" Target="https://fitsmallbusiness.com/how-to-do-payroll/" TargetMode="External"/><Relationship Id="rId10" Type="http://schemas.openxmlformats.org/officeDocument/2006/relationships/hyperlink" Target="https://fitsmallbusiness.com/different-ways-to-pay-employee/" TargetMode="External"/><Relationship Id="rId32" Type="http://schemas.openxmlformats.org/officeDocument/2006/relationships/footer" Target="footer1.xml"/><Relationship Id="rId13" Type="http://schemas.openxmlformats.org/officeDocument/2006/relationships/hyperlink" Target="https://fitsmallbusiness.com/best-payroll-services/" TargetMode="External"/><Relationship Id="rId12" Type="http://schemas.openxmlformats.org/officeDocument/2006/relationships/hyperlink" Target="https://fitsmallbusiness.com/free-payroll-template/" TargetMode="External"/><Relationship Id="rId15" Type="http://schemas.openxmlformats.org/officeDocument/2006/relationships/hyperlink" Target="https://dor.sc.gov/forms-site/Forms/SCW4_2022.pdf" TargetMode="External"/><Relationship Id="rId14" Type="http://schemas.openxmlformats.org/officeDocument/2006/relationships/hyperlink" Target="https://www.irs.gov/pub/irs-pdf/fw4.pdf" TargetMode="External"/><Relationship Id="rId17" Type="http://schemas.openxmlformats.org/officeDocument/2006/relationships/hyperlink" Target="https://fitsmallbusiness.com/wp-content/uploads/2022/05/Direct-Deposit-Authorization-Form.pdf" TargetMode="External"/><Relationship Id="rId16"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best-time-and-attendance-software/" TargetMode="External"/><Relationship Id="rId18" Type="http://schemas.openxmlformats.org/officeDocument/2006/relationships/hyperlink" Target="https://fitsmallbusiness.com/timesheet-templ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