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60.000000000002" w:type="dxa"/>
        <w:jc w:val="left"/>
        <w:tblInd w:w="-340.00000000000006" w:type="dxa"/>
        <w:tblBorders>
          <w:top w:color="e2e9ed" w:space="0" w:sz="8" w:val="single"/>
          <w:left w:color="e2e9ed" w:space="0" w:sz="8" w:val="single"/>
          <w:bottom w:color="e2e9ed" w:space="0" w:sz="8" w:val="single"/>
          <w:right w:color="e2e9ed" w:space="0" w:sz="8" w:val="single"/>
          <w:insideH w:color="e2e9ed" w:space="0" w:sz="8" w:val="single"/>
          <w:insideV w:color="e2e9ed" w:space="0" w:sz="8" w:val="single"/>
        </w:tblBorders>
        <w:tblLayout w:type="fixed"/>
        <w:tblLook w:val="0600"/>
      </w:tblPr>
      <w:tblGrid>
        <w:gridCol w:w="1639.9999999999998"/>
        <w:gridCol w:w="8320.000000000002"/>
        <w:tblGridChange w:id="0">
          <w:tblGrid>
            <w:gridCol w:w="1639.9999999999998"/>
            <w:gridCol w:w="8320.000000000002"/>
          </w:tblGrid>
        </w:tblGridChange>
      </w:tblGrid>
      <w:tr>
        <w:trPr>
          <w:cantSplit w:val="1"/>
          <w:trHeight w:val="720" w:hRule="atLeast"/>
          <w:tblHeader w:val="0"/>
        </w:trPr>
        <w:tc>
          <w:tcPr>
            <w:shd w:fill="155e85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55e85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TASK</w:t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-20" w:hanging="900"/>
              <w:jc w:val="center"/>
              <w:rPr>
                <w:color w:val="0f336d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44.8" w:type="dxa"/>
              <w:left w:w="244.8" w:type="dxa"/>
              <w:bottom w:w="244.8" w:type="dxa"/>
              <w:right w:w="244.8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7"/>
              </w:numPr>
              <w:spacing w:line="360" w:lineRule="auto"/>
              <w:ind w:left="450" w:hanging="360"/>
              <w:rPr>
                <w:b w:val="1"/>
                <w:color w:val="0f336d"/>
                <w:sz w:val="28"/>
                <w:szCs w:val="28"/>
                <w:u w:val="none"/>
              </w:rPr>
            </w:pPr>
            <w:r w:rsidDel="00000000" w:rsidR="00000000" w:rsidRPr="00000000">
              <w:rPr>
                <w:b w:val="1"/>
                <w:color w:val="0f336d"/>
                <w:sz w:val="28"/>
                <w:szCs w:val="28"/>
                <w:rtl w:val="0"/>
              </w:rPr>
              <w:t xml:space="preserve">Enforce a Strong Password Policy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1"/>
                <w:numId w:val="1"/>
              </w:numPr>
              <w:spacing w:line="276" w:lineRule="auto"/>
              <w:ind w:left="99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Establish the password complexity 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1"/>
                <w:numId w:val="1"/>
              </w:numPr>
              <w:spacing w:line="276" w:lineRule="auto"/>
              <w:ind w:left="99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Unique password for every work account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1"/>
                <w:numId w:val="1"/>
              </w:numPr>
              <w:spacing w:line="276" w:lineRule="auto"/>
              <w:ind w:left="99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Regular password updates (Expiration policy: ___ months)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1"/>
                <w:numId w:val="1"/>
              </w:numPr>
              <w:spacing w:line="276" w:lineRule="auto"/>
              <w:ind w:left="99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Install a password manager</w:t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shd w:fill="f0f4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80"/>
              <w:jc w:val="left"/>
              <w:rPr>
                <w:color w:val="0f336d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6" w:val="clear"/>
            <w:tcMar>
              <w:top w:w="244.8" w:type="dxa"/>
              <w:left w:w="244.8" w:type="dxa"/>
              <w:bottom w:w="244.8" w:type="dxa"/>
              <w:right w:w="244.8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7"/>
              </w:numPr>
              <w:spacing w:line="360" w:lineRule="auto"/>
              <w:ind w:left="450" w:hanging="360"/>
              <w:rPr>
                <w:b w:val="1"/>
                <w:color w:val="0f336d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f336d"/>
                <w:sz w:val="28"/>
                <w:szCs w:val="28"/>
                <w:rtl w:val="0"/>
              </w:rPr>
              <w:t xml:space="preserve">Update Your System Regularly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1"/>
                <w:numId w:val="1"/>
              </w:numPr>
              <w:ind w:left="99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Update the operating system for desktop and mobile devices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1"/>
                <w:numId w:val="1"/>
              </w:numPr>
              <w:ind w:left="99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Enable automatic updates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1"/>
                <w:numId w:val="1"/>
              </w:numPr>
              <w:ind w:left="99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Schedule maintenance updates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color w:val="0f336d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44.8" w:type="dxa"/>
              <w:left w:w="244.8" w:type="dxa"/>
              <w:bottom w:w="244.8" w:type="dxa"/>
              <w:right w:w="244.8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7"/>
              </w:numPr>
              <w:spacing w:line="360" w:lineRule="auto"/>
              <w:ind w:left="450" w:hanging="360"/>
              <w:rPr>
                <w:b w:val="1"/>
                <w:color w:val="0f336d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f336d"/>
                <w:sz w:val="28"/>
                <w:szCs w:val="28"/>
                <w:rtl w:val="0"/>
              </w:rPr>
              <w:t xml:space="preserve">Find a Secure VoIP Provider</w:t>
            </w:r>
          </w:p>
          <w:p w:rsidR="00000000" w:rsidDel="00000000" w:rsidP="00000000" w:rsidRDefault="00000000" w:rsidRPr="00000000" w14:paraId="00000014">
            <w:pPr>
              <w:widowControl w:val="0"/>
              <w:ind w:left="630" w:firstLine="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Look for the following security features: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1"/>
                <w:numId w:val="1"/>
              </w:numPr>
              <w:ind w:left="144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End-to-end encryption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1"/>
                <w:numId w:val="1"/>
              </w:numPr>
              <w:ind w:left="144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Single sign-on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1"/>
                <w:numId w:val="1"/>
              </w:numPr>
              <w:ind w:left="144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Multi-factor authentication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1"/>
                <w:numId w:val="1"/>
              </w:numPr>
              <w:ind w:left="144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Compliance standards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shd w:fill="f0f4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color w:val="0f336d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6" w:val="clear"/>
            <w:tcMar>
              <w:top w:w="244.8" w:type="dxa"/>
              <w:left w:w="244.8" w:type="dxa"/>
              <w:bottom w:w="244.8" w:type="dxa"/>
              <w:right w:w="244.8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7"/>
              </w:numPr>
              <w:spacing w:line="360" w:lineRule="auto"/>
              <w:ind w:left="450" w:hanging="360"/>
              <w:rPr>
                <w:b w:val="1"/>
                <w:color w:val="0f336d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f336d"/>
                <w:sz w:val="28"/>
                <w:szCs w:val="28"/>
                <w:rtl w:val="0"/>
              </w:rPr>
              <w:t xml:space="preserve">Disable International Calling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1"/>
                <w:numId w:val="1"/>
              </w:numPr>
              <w:ind w:left="99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Configure calling permissions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1"/>
                <w:numId w:val="1"/>
              </w:numPr>
              <w:ind w:left="99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Restrict international dialing patterns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1"/>
                <w:numId w:val="1"/>
              </w:numPr>
              <w:ind w:left="99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Enable geofencing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1"/>
                <w:numId w:val="1"/>
              </w:numPr>
              <w:ind w:left="99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Review call 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color w:val="0f336d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44.8" w:type="dxa"/>
              <w:left w:w="244.8" w:type="dxa"/>
              <w:bottom w:w="244.8" w:type="dxa"/>
              <w:right w:w="244.8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7"/>
              </w:numPr>
              <w:spacing w:line="360" w:lineRule="auto"/>
              <w:ind w:left="450" w:hanging="360"/>
              <w:rPr>
                <w:b w:val="1"/>
                <w:color w:val="0f336d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f336d"/>
                <w:sz w:val="28"/>
                <w:szCs w:val="28"/>
                <w:rtl w:val="0"/>
              </w:rPr>
              <w:t xml:space="preserve">Disable Web Interface Use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1"/>
                <w:numId w:val="1"/>
              </w:numPr>
              <w:ind w:left="99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Identify critical users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1"/>
                <w:numId w:val="1"/>
              </w:numPr>
              <w:ind w:left="99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Disable web access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1"/>
                <w:numId w:val="1"/>
              </w:numPr>
              <w:ind w:left="99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Restrict IP address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1"/>
                <w:numId w:val="1"/>
              </w:numPr>
              <w:ind w:left="99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Configure role-based access controls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1"/>
                <w:numId w:val="1"/>
              </w:numPr>
              <w:ind w:left="99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Monitor log access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shd w:fill="f0f4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color w:val="0f336d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6" w:val="clear"/>
            <w:tcMar>
              <w:top w:w="244.8" w:type="dxa"/>
              <w:left w:w="244.8" w:type="dxa"/>
              <w:bottom w:w="244.8" w:type="dxa"/>
              <w:right w:w="244.8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7"/>
              </w:numPr>
              <w:spacing w:line="360" w:lineRule="auto"/>
              <w:ind w:left="450" w:hanging="360"/>
              <w:rPr>
                <w:b w:val="1"/>
                <w:color w:val="0f336d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f336d"/>
                <w:sz w:val="28"/>
                <w:szCs w:val="28"/>
                <w:rtl w:val="0"/>
              </w:rPr>
              <w:t xml:space="preserve">Conduct Security Audits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1"/>
                <w:numId w:val="1"/>
              </w:numPr>
              <w:ind w:left="99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Select a reputable third-party agency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1"/>
                <w:numId w:val="1"/>
              </w:numPr>
              <w:ind w:left="99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Gather required documentation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1"/>
                <w:numId w:val="1"/>
              </w:numPr>
              <w:ind w:left="99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Implement recommendations 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1"/>
                <w:numId w:val="1"/>
              </w:numPr>
              <w:ind w:left="99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Schedule a follow-up audit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color w:val="0f336d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44.8" w:type="dxa"/>
              <w:left w:w="244.8" w:type="dxa"/>
              <w:bottom w:w="244.8" w:type="dxa"/>
              <w:right w:w="244.8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7"/>
              </w:numPr>
              <w:spacing w:line="360" w:lineRule="auto"/>
              <w:ind w:left="450" w:hanging="360"/>
              <w:rPr>
                <w:b w:val="1"/>
                <w:color w:val="0f336d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f336d"/>
                <w:sz w:val="28"/>
                <w:szCs w:val="28"/>
                <w:rtl w:val="0"/>
              </w:rPr>
              <w:t xml:space="preserve">Install VPN Software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1"/>
                <w:numId w:val="1"/>
              </w:numPr>
              <w:ind w:left="99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Evaluate VPN requirements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1"/>
                <w:numId w:val="1"/>
              </w:numPr>
              <w:ind w:left="99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Select a VPN provider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1"/>
                <w:numId w:val="1"/>
              </w:numPr>
              <w:ind w:left="99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Configure VPN (protocol selection)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1"/>
                <w:numId w:val="1"/>
              </w:numPr>
              <w:ind w:left="99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Deploy VPN software to remote staff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1"/>
                <w:numId w:val="1"/>
              </w:numPr>
              <w:ind w:left="99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Monitor VPN 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shd w:fill="f0f4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color w:val="0f336d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6" w:val="clear"/>
            <w:tcMar>
              <w:top w:w="244.8" w:type="dxa"/>
              <w:left w:w="244.8" w:type="dxa"/>
              <w:bottom w:w="244.8" w:type="dxa"/>
              <w:right w:w="244.8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7"/>
              </w:numPr>
              <w:spacing w:line="360" w:lineRule="auto"/>
              <w:ind w:left="450" w:hanging="360"/>
              <w:rPr>
                <w:b w:val="1"/>
                <w:color w:val="0f336d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f336d"/>
                <w:sz w:val="28"/>
                <w:szCs w:val="28"/>
                <w:rtl w:val="0"/>
              </w:rPr>
              <w:t xml:space="preserve">Monitor Call Logs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1"/>
                <w:numId w:val="1"/>
              </w:numPr>
              <w:ind w:left="99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Identify key indicators (e.g., call patterns, duration, &amp; caller IDs) 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1"/>
                <w:numId w:val="1"/>
              </w:numPr>
              <w:ind w:left="99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Set threshold alerts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1"/>
                <w:numId w:val="1"/>
              </w:numPr>
              <w:ind w:left="99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Restrict call log access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1"/>
                <w:numId w:val="1"/>
              </w:numPr>
              <w:ind w:left="99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Implement regular call log review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color w:val="0f336d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4.8" w:type="dxa"/>
              <w:left w:w="244.8" w:type="dxa"/>
              <w:bottom w:w="244.8" w:type="dxa"/>
              <w:right w:w="244.8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7"/>
              </w:numPr>
              <w:spacing w:line="360" w:lineRule="auto"/>
              <w:ind w:left="450" w:hanging="360"/>
              <w:rPr>
                <w:b w:val="1"/>
                <w:color w:val="0f336d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f336d"/>
                <w:sz w:val="28"/>
                <w:szCs w:val="28"/>
                <w:rtl w:val="0"/>
              </w:rPr>
              <w:t xml:space="preserve">Set Up Firewalls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1"/>
                <w:numId w:val="1"/>
              </w:numPr>
              <w:ind w:left="99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Select a firewall software provider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1"/>
                <w:numId w:val="1"/>
              </w:numPr>
              <w:ind w:left="99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Configure firewall settings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1"/>
                <w:numId w:val="1"/>
              </w:numPr>
              <w:ind w:left="99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Update firewall software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shd w:fill="f0f4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color w:val="0f336d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6" w:val="clear"/>
            <w:tcMar>
              <w:top w:w="244.8" w:type="dxa"/>
              <w:left w:w="244.8" w:type="dxa"/>
              <w:bottom w:w="244.8" w:type="dxa"/>
              <w:right w:w="244.8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360" w:lineRule="auto"/>
              <w:ind w:left="90" w:firstLine="0"/>
              <w:rPr>
                <w:b w:val="1"/>
                <w:color w:val="0f336d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f336d"/>
                <w:sz w:val="28"/>
                <w:szCs w:val="28"/>
                <w:rtl w:val="0"/>
              </w:rPr>
              <w:t xml:space="preserve">10. Train Staff on Cybersecurity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1"/>
                <w:numId w:val="1"/>
              </w:numPr>
              <w:ind w:left="99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Develop training materials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1"/>
                <w:numId w:val="1"/>
              </w:numPr>
              <w:ind w:left="99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Conduct training sessions on common threats &amp; best practices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1"/>
                <w:numId w:val="1"/>
              </w:numPr>
              <w:ind w:left="99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Create hands-on training and simulations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1"/>
                <w:numId w:val="1"/>
              </w:numPr>
              <w:ind w:left="990" w:hanging="360"/>
              <w:rPr>
                <w:color w:val="0f336d"/>
                <w:sz w:val="24"/>
                <w:szCs w:val="24"/>
              </w:rPr>
            </w:pPr>
            <w:r w:rsidDel="00000000" w:rsidR="00000000" w:rsidRPr="00000000">
              <w:rPr>
                <w:color w:val="0f336d"/>
                <w:sz w:val="24"/>
                <w:szCs w:val="24"/>
                <w:rtl w:val="0"/>
              </w:rPr>
              <w:t xml:space="preserve">Promote ongoing awareness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4619625</wp:posOffset>
          </wp:positionH>
          <wp:positionV relativeFrom="paragraph">
            <wp:posOffset>-412749</wp:posOffset>
          </wp:positionV>
          <wp:extent cx="1795463" cy="198394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5463" cy="19839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4679950</wp:posOffset>
          </wp:positionH>
          <wp:positionV relativeFrom="paragraph">
            <wp:posOffset>-406399</wp:posOffset>
          </wp:positionV>
          <wp:extent cx="1795463" cy="198394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5463" cy="19839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widowControl w:val="0"/>
      <w:spacing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-38099</wp:posOffset>
              </wp:positionH>
              <wp:positionV relativeFrom="page">
                <wp:posOffset>-50799</wp:posOffset>
              </wp:positionV>
              <wp:extent cx="7772400" cy="1197216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459800" y="3190075"/>
                        <a:ext cx="7772400" cy="1197216"/>
                        <a:chOff x="1459800" y="3190075"/>
                        <a:chExt cx="7772400" cy="1179850"/>
                      </a:xfrm>
                    </wpg:grpSpPr>
                    <wpg:grpSp>
                      <wpg:cNvGrpSpPr/>
                      <wpg:grpSpPr>
                        <a:xfrm>
                          <a:off x="1459800" y="3190085"/>
                          <a:ext cx="7772400" cy="1179830"/>
                          <a:chOff x="0" y="0"/>
                          <a:chExt cx="7772400" cy="117983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772400" cy="1179825"/>
                          </a:xfrm>
                          <a:prstGeom prst="rect">
                            <a:avLst/>
                          </a:prstGeom>
                          <a:solidFill>
                            <a:srgbClr val="0F336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7772400" cy="1179830"/>
                          </a:xfrm>
                          <a:prstGeom prst="rect">
                            <a:avLst/>
                          </a:prstGeom>
                          <a:solidFill>
                            <a:srgbClr val="0F336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7772400" cy="1179830"/>
                          </a:xfrm>
                          <a:custGeom>
                            <a:rect b="b" l="l" r="r" t="t"/>
                            <a:pathLst>
                              <a:path extrusionOk="0" h="1179830" w="7772400">
                                <a:moveTo>
                                  <a:pt x="0" y="0"/>
                                </a:moveTo>
                                <a:lnTo>
                                  <a:pt x="0" y="1179830"/>
                                </a:lnTo>
                                <a:lnTo>
                                  <a:pt x="7772400" y="117983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336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547.9999923706055" w:line="240"/>
                                <w:ind w:left="2211.0000610351562" w:right="-16.449999809265137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PT Sans" w:cs="PT Sans" w:eastAsia="PT Sans" w:hAnsi="PT Sans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54"/>
                                  <w:vertAlign w:val="baseline"/>
                                </w:rPr>
                                <w:t xml:space="preserve">VoIP Security Checklist for </w:t>
                              </w:r>
                              <w:r w:rsidDel="00000000" w:rsidR="00000000" w:rsidRPr="00000000">
                                <w:rPr>
                                  <w:rFonts w:ascii="PT Sans" w:cs="PT Sans" w:eastAsia="PT Sans" w:hAnsi="PT Sans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54"/>
                                  <w:vertAlign w:val="baseline"/>
                                </w:rPr>
                                <w:t xml:space="preserve">Small Businesses</w:t>
                              </w:r>
                            </w:p>
                          </w:txbxContent>
                        </wps:txbx>
                        <wps:bodyPr anchorCtr="0" anchor="t" bIns="38100" lIns="88900" spcFirstLastPara="1" rIns="88900" wrap="square" tIns="3810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-38099</wp:posOffset>
              </wp:positionH>
              <wp:positionV relativeFrom="page">
                <wp:posOffset>-50799</wp:posOffset>
              </wp:positionV>
              <wp:extent cx="7772400" cy="1197216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119721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